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rPr>
          <w:rFonts w:hint="eastAsia" w:hAnsi="黑体" w:cs="黑体"/>
        </w:rPr>
      </w:pPr>
      <w:bookmarkStart w:id="0" w:name="StandardName"/>
      <w:r>
        <w:rPr>
          <w:rFonts w:hint="eastAsia" w:hAnsi="黑体" w:cs="黑体"/>
        </w:rPr>
        <w:t>ICS03.080</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2" w:hRule="atLeast"/>
        </w:trPr>
        <w:tc>
          <w:tcPr>
            <w:tcW w:w="9854" w:type="dxa"/>
            <w:tcBorders>
              <w:top w:val="nil"/>
              <w:left w:val="nil"/>
              <w:bottom w:val="nil"/>
              <w:right w:val="nil"/>
            </w:tcBorders>
            <w:noWrap w:val="0"/>
            <w:vAlign w:val="top"/>
          </w:tcPr>
          <w:p>
            <w:pPr>
              <w:pStyle w:val="13"/>
            </w:pPr>
            <w:r>
              <w:rPr>
                <w:rFonts w:hint="eastAsia"/>
              </w:rPr>
              <w:t>CCS</w:t>
            </w:r>
            <w:r>
              <mc:AlternateContent>
                <mc:Choice Requires="wps">
                  <w:drawing>
                    <wp:anchor distT="0" distB="0" distL="114300" distR="114300" simplePos="0" relativeHeight="251663360" behindDoc="1" locked="0" layoutInCell="1" allowOverlap="1">
                      <wp:simplePos x="0" y="0"/>
                      <wp:positionH relativeFrom="column">
                        <wp:posOffset>85725</wp:posOffset>
                      </wp:positionH>
                      <wp:positionV relativeFrom="paragraph">
                        <wp:posOffset>152400</wp:posOffset>
                      </wp:positionV>
                      <wp:extent cx="866775" cy="198120"/>
                      <wp:effectExtent l="0" t="0" r="1905" b="0"/>
                      <wp:wrapNone/>
                      <wp:docPr id="7" name="矩形 7"/>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txbxContent>
                            </wps:txbx>
                            <wps:bodyPr upright="1"/>
                          </wps:wsp>
                        </a:graphicData>
                      </a:graphic>
                    </wp:anchor>
                  </w:drawing>
                </mc:Choice>
                <mc:Fallback>
                  <w:pict>
                    <v:rect id="_x0000_s1026" o:spid="_x0000_s1026" o:spt="1" style="position:absolute;left:0pt;margin-left:6.75pt;margin-top:12pt;height:15.6pt;width:68.25pt;z-index:-251653120;mso-width-relative:page;mso-height-relative:page;" fillcolor="#FFFFFF" filled="t" stroked="f" coordsize="21600,21600" o:gfxdata="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AiS01zVAAAACAEAAA8AAAAAAAAAAQAgAAAAIgAAAGRycy9kb3ducmV2LnhtbFBLAQIUABQAAAAI&#10;AIdO4kA5844otwEAAGkDAAAOAAAAAAAAAAEAIAAAACQBAABkcnMvZTJvRG9jLnhtbFBLBQYAAAAA&#10;BgAGAFkBAABNBQAAAAA=&#10;">
                      <v:fill on="t" focussize="0,0"/>
                      <v:stroke on="f"/>
                      <v:imagedata o:title=""/>
                      <o:lock v:ext="edit" aspectratio="f"/>
                      <v:textbox>
                        <w:txbxContent>
                          <w:p/>
                        </w:txbxContent>
                      </v:textbox>
                    </v:rect>
                  </w:pict>
                </mc:Fallback>
              </mc:AlternateContent>
            </w:r>
            <w:r>
              <w:rPr>
                <w:rFonts w:hint="eastAsia"/>
              </w:rPr>
              <w:t>A16</w:t>
            </w:r>
            <w: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1905" b="0"/>
                      <wp:wrapNone/>
                      <wp:docPr id="2" name="矩形 2"/>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txbxContent>
                            </wps:txbx>
                            <wps:bodyPr upright="1"/>
                          </wps:wsp>
                        </a:graphicData>
                      </a:graphic>
                    </wp:anchor>
                  </w:drawing>
                </mc:Choice>
                <mc:Fallback>
                  <w:pict>
                    <v:rect id="_x0000_s1026"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iuL+zVAAAABwEAAA8AAAAAAAAAAQAgAAAAIgAAAGRycy9kb3ducmV2LnhtbFBLAQIUABQAAAAI&#10;AIdO4kDP6bJptwEAAGkDAAAOAAAAAAAAAAEAIAAAACQBAABkcnMvZTJvRG9jLnhtbFBLBQYAAAAA&#10;BgAGAFkBAABNBQAAAAA=&#10;">
                      <v:fill on="t" focussize="0,0"/>
                      <v:stroke on="f"/>
                      <v:imagedata o:title=""/>
                      <o:lock v:ext="edit" aspectratio="f"/>
                      <v:textbox>
                        <w:txbxContent>
                          <w:p/>
                        </w:txbxContent>
                      </v:textbox>
                    </v:rect>
                  </w:pict>
                </mc:Fallback>
              </mc:AlternateContent>
            </w:r>
          </w:p>
        </w:tc>
      </w:tr>
    </w:tbl>
    <w:p>
      <w:pPr>
        <w:pStyle w:val="14"/>
      </w:pPr>
      <w:r>
        <w:t>DB</w:t>
      </w:r>
      <w:r>
        <w:rPr>
          <w:rFonts w:hint="eastAsia"/>
        </w:rPr>
        <w:t>21</w:t>
      </w:r>
    </w:p>
    <w:p>
      <w:pPr>
        <w:pStyle w:val="16"/>
      </w:pPr>
      <w:r>
        <w:rPr>
          <w:rFonts w:hint="eastAsia"/>
        </w:rPr>
        <w:t>辽宁省地方标准</w:t>
      </w:r>
    </w:p>
    <w:p>
      <w:pPr>
        <w:pStyle w:val="17"/>
        <w:rPr>
          <w:rFonts w:hint="eastAsia" w:hAnsi="黑体" w:cs="黑体"/>
        </w:rPr>
      </w:pPr>
      <w:r>
        <w:rPr>
          <w:rFonts w:hint="eastAsia" w:hAnsi="黑体" w:cs="黑体"/>
        </w:rPr>
        <w:t>DB21/TXXXX—XXXX</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noWrap w:val="0"/>
            <w:vAlign w:val="top"/>
          </w:tcPr>
          <w:p>
            <w:pPr>
              <w:pStyle w:val="18"/>
            </w:pPr>
          </w:p>
        </w:tc>
      </w:tr>
    </w:tbl>
    <w:p>
      <w:pPr>
        <w:pStyle w:val="17"/>
      </w:pPr>
    </w:p>
    <w:p>
      <w:pPr>
        <w:pStyle w:val="17"/>
      </w:pPr>
    </w:p>
    <w:p>
      <w:pPr>
        <w:pStyle w:val="19"/>
        <w:framePr w:x="1390" w:y="6437"/>
        <w:rPr>
          <w:rFonts w:hint="eastAsia" w:eastAsia="黑体"/>
          <w:szCs w:val="22"/>
          <w:lang w:eastAsia="zh-CN"/>
        </w:rPr>
      </w:pPr>
      <w:r>
        <w:rPr>
          <w:rFonts w:hint="eastAsia"/>
          <w:szCs w:val="22"/>
        </w:rPr>
        <w:t>ETC</w:t>
      </w:r>
      <w:r>
        <w:rPr>
          <w:rFonts w:hint="eastAsia"/>
          <w:szCs w:val="22"/>
          <w:lang w:val="en-US" w:eastAsia="zh-CN"/>
        </w:rPr>
        <w:t>智慧</w:t>
      </w:r>
      <w:r>
        <w:rPr>
          <w:rFonts w:hint="eastAsia"/>
          <w:szCs w:val="22"/>
        </w:rPr>
        <w:t>停车场</w:t>
      </w:r>
      <w:r>
        <w:rPr>
          <w:rFonts w:hint="eastAsia"/>
          <w:szCs w:val="22"/>
          <w:lang w:val="en-US" w:eastAsia="zh-CN"/>
        </w:rPr>
        <w:t xml:space="preserve"> </w:t>
      </w:r>
      <w:r>
        <w:rPr>
          <w:rFonts w:hint="eastAsia"/>
          <w:szCs w:val="22"/>
          <w:lang w:eastAsia="zh-CN"/>
        </w:rPr>
        <w:t>信息系统建设要求</w:t>
      </w:r>
    </w:p>
    <w:p>
      <w:pPr>
        <w:pStyle w:val="20"/>
        <w:framePr w:x="1390" w:y="6437"/>
      </w:pPr>
    </w:p>
    <w:p>
      <w:pPr>
        <w:pStyle w:val="21"/>
        <w:framePr w:x="1390" w:y="6437"/>
      </w:pPr>
      <w:r>
        <w:rPr>
          <w:rFonts w:hint="eastAsia"/>
        </w:rPr>
        <w:t>（</w:t>
      </w:r>
      <w:r>
        <w:rPr>
          <w:rFonts w:hint="eastAsia"/>
          <w:lang w:val="en-US" w:eastAsia="zh-CN"/>
        </w:rPr>
        <w:t>征求意见稿</w:t>
      </w:r>
      <w:r>
        <w:rPr>
          <w:rFonts w:hint="eastAsia"/>
        </w:rPr>
        <w:t>）</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5" w:type="dxa"/>
            <w:tcBorders>
              <w:top w:val="nil"/>
              <w:left w:val="nil"/>
              <w:bottom w:val="nil"/>
              <w:right w:val="nil"/>
            </w:tcBorders>
            <w:noWrap w:val="0"/>
            <w:vAlign w:val="top"/>
          </w:tcPr>
          <w:p>
            <w:pPr>
              <w:pStyle w:val="22"/>
              <w:framePr w:x="1390" w:y="6437"/>
            </w:pPr>
            <w: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4281805</wp:posOffset>
                      </wp:positionV>
                      <wp:extent cx="1905000" cy="254000"/>
                      <wp:effectExtent l="0" t="0" r="0" b="5080"/>
                      <wp:wrapNone/>
                      <wp:docPr id="9" name="矩形 9"/>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txbx>
                              <w:txbxContent>
                                <w:p/>
                              </w:txbxContent>
                            </wps:txbx>
                            <wps:bodyPr upright="1"/>
                          </wps:wsp>
                        </a:graphicData>
                      </a:graphic>
                    </wp:anchor>
                  </w:drawing>
                </mc:Choice>
                <mc:Fallback>
                  <w:pict>
                    <v:rect id="_x0000_s1026" o:spid="_x0000_s1026" o:spt="1" style="position:absolute;left:0pt;margin-left:173.3pt;margin-top:337.15pt;height:20pt;width:150pt;z-index:-251655168;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f&#10;1/fg1wAAAAsBAAAPAAAAAAAAAAEAIAAAACIAAABkcnMvZG93bnJldi54bWxQSwECFAAUAAAACACH&#10;TuJAgETJ2bMBAABqAwAADgAAAAAAAAABACAAAAAmAQAAZHJzL2Uyb0RvYy54bWxQSwUGAAAAAAYA&#10;BgBZAQAASwUAAAAA&#10;">
                      <v:fill on="t" focussize="0,0"/>
                      <v:stroke on="f"/>
                      <v:imagedata o:title=""/>
                      <o:lock v:ext="edit" aspectratio="f"/>
                      <v:textbox>
                        <w:txbxContent>
                          <w:p/>
                        </w:txbxContent>
                      </v:textbox>
                      <w10:anchorlock/>
                    </v:rect>
                  </w:pict>
                </mc:Fallback>
              </mc:AlternateConten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5" w:type="dxa"/>
            <w:tcBorders>
              <w:top w:val="nil"/>
              <w:left w:val="nil"/>
              <w:bottom w:val="nil"/>
              <w:right w:val="nil"/>
            </w:tcBorders>
            <w:noWrap w:val="0"/>
            <w:vAlign w:val="top"/>
          </w:tcPr>
          <w:p>
            <w:pPr>
              <w:pStyle w:val="23"/>
              <w:framePr w:x="1390" w:y="6437"/>
            </w:pPr>
          </w:p>
        </w:tc>
      </w:tr>
    </w:tbl>
    <w:p>
      <w:pPr>
        <w:pStyle w:val="24"/>
        <w:framePr w:vAnchor="page" w:hAnchor="page" w:x="1549" w:y="14053"/>
      </w:pPr>
      <w:r>
        <w:rPr>
          <w:rFonts w:ascii="黑体"/>
        </w:rPr>
        <w:t>XXXX-XX-XX</w:t>
      </w:r>
      <w:r>
        <w:rPr>
          <w:rFonts w:hint="eastAsia"/>
        </w:rPr>
        <w:t>发布</w:t>
      </w:r>
      <w:r>
        <mc:AlternateContent>
          <mc:Choice Requires="wps">
            <w:drawing>
              <wp:anchor distT="0" distB="0" distL="114300" distR="114300" simplePos="0" relativeHeight="251664384" behindDoc="0" locked="1" layoutInCell="1" allowOverlap="1">
                <wp:simplePos x="0" y="0"/>
                <wp:positionH relativeFrom="column">
                  <wp:posOffset>3810</wp:posOffset>
                </wp:positionH>
                <wp:positionV relativeFrom="page">
                  <wp:posOffset>-3421380</wp:posOffset>
                </wp:positionV>
                <wp:extent cx="6120130" cy="0"/>
                <wp:effectExtent l="0" t="0" r="0" b="0"/>
                <wp:wrapNone/>
                <wp:docPr id="10" name="直接连接符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3pt;margin-top:-269.4pt;height:0pt;width:481.9pt;mso-position-vertical-relative:page;z-index:251664384;mso-width-relative:page;mso-height-relative:page;" filled="f" stroked="t" coordsize="21600,21600" o:gfxdata="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9c1J4dYAAAAKAQAADwAAAAAAAAABACAAAAAiAAAAZHJzL2Rvd25yZXYueG1sUEsBAhQA&#10;FAAAAAgAh07iQGospkz0AQAA5gMAAA4AAAAAAAAAAQAgAAAAJQEAAGRycy9lMm9Eb2MueG1sUEsF&#10;BgAAAAAGAAYAWQEAAIsFAAAAAA==&#10;">
                <v:fill on="f" focussize="0,0"/>
                <v:stroke color="#000000" joinstyle="round"/>
                <v:imagedata o:title=""/>
                <o:lock v:ext="edit" aspectratio="f"/>
                <w10:anchorlock/>
              </v:line>
            </w:pict>
          </mc:Fallback>
        </mc:AlternateContent>
      </w:r>
    </w:p>
    <w:p>
      <w:pPr>
        <w:pStyle w:val="26"/>
        <w:framePr w:vAnchor="page" w:hAnchor="page" w:x="7006" w:y="13981"/>
      </w:pPr>
      <w:r>
        <w:rPr>
          <w:rFonts w:ascii="黑体"/>
        </w:rPr>
        <w:t>XXXX-XX-XX</w:t>
      </w:r>
      <w:r>
        <w:rPr>
          <w:rFonts w:hint="eastAsia"/>
        </w:rPr>
        <w:t>实施</w:t>
      </w:r>
    </w:p>
    <w:p>
      <w:pPr>
        <w:pStyle w:val="28"/>
        <w:rPr>
          <w:rFonts w:hAnsi="黑体" w:cs="黑体"/>
        </w:rPr>
      </w:pPr>
      <w:bookmarkStart w:id="1" w:name="fm"/>
      <w:r>
        <w:rPr>
          <w:rFonts w:hint="eastAsia" w:hAnsi="黑体" w:cs="黑体"/>
          <w:w w:val="100"/>
        </w:rPr>
        <mc:AlternateContent>
          <mc:Choice Requires="wps">
            <w:drawing>
              <wp:anchor distT="0" distB="0" distL="114300" distR="114300" simplePos="0" relativeHeight="251660288" behindDoc="1" locked="0" layoutInCell="1" allowOverlap="1">
                <wp:simplePos x="0" y="0"/>
                <wp:positionH relativeFrom="column">
                  <wp:posOffset>1810385</wp:posOffset>
                </wp:positionH>
                <wp:positionV relativeFrom="paragraph">
                  <wp:posOffset>-3942715</wp:posOffset>
                </wp:positionV>
                <wp:extent cx="1270000" cy="304800"/>
                <wp:effectExtent l="0" t="0" r="10160" b="0"/>
                <wp:wrapNone/>
                <wp:docPr id="8" name="矩形 8"/>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txbx>
                        <w:txbxContent>
                          <w:p/>
                        </w:txbxContent>
                      </wps:txbx>
                      <wps:bodyPr upright="1"/>
                    </wps:wsp>
                  </a:graphicData>
                </a:graphic>
              </wp:anchor>
            </w:drawing>
          </mc:Choice>
          <mc:Fallback>
            <w:pict>
              <v:rect id="_x0000_s1026" o:spid="_x0000_s1026" o:spt="1" style="position:absolute;left:0pt;margin-left:142.55pt;margin-top:-310.45pt;height:24pt;width:100pt;z-index:-251656192;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5te7W2QAAAA0BAAAPAAAAAAAAAAEAIAAAACIAAABkcnMvZG93bnJldi54bWxQSwECFAAUAAAA&#10;CACHTuJA71WldbQBAABqAwAADgAAAAAAAAABACAAAAAoAQAAZHJzL2Uyb0RvYy54bWxQSwUGAAAA&#10;AAYABgBZAQAATgUAAAAA&#10;">
                <v:fill on="t" focussize="0,0"/>
                <v:stroke on="f"/>
                <v:imagedata o:title=""/>
                <o:lock v:ext="edit" aspectratio="f"/>
                <v:textbox>
                  <w:txbxContent>
                    <w:p/>
                  </w:txbxContent>
                </v:textbox>
              </v:rect>
            </w:pict>
          </mc:Fallback>
        </mc:AlternateContent>
      </w:r>
      <w:r>
        <w:rPr>
          <w:rFonts w:hint="eastAsia" w:hAnsi="黑体" w:cs="黑体"/>
          <w:w w:val="100"/>
        </w:rPr>
        <mc:AlternateContent>
          <mc:Choice Requires="wps">
            <w:drawing>
              <wp:anchor distT="0" distB="0" distL="114300" distR="114300" simplePos="0" relativeHeight="251659264"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3" name="矩形 3"/>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txbxContent>
                      </wps:txbx>
                      <wps:bodyPr upright="1"/>
                    </wps:wsp>
                  </a:graphicData>
                </a:graphic>
              </wp:anchor>
            </w:drawing>
          </mc:Choice>
          <mc:Fallback>
            <w:pict>
              <v:rect id="_x0000_s1026" o:spid="_x0000_s1026" o:spt="1" style="position:absolute;left:0pt;margin-left:347.55pt;margin-top:-585.45pt;height:18pt;width:90pt;z-index:-251657216;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38mKEdoAAAAPAQAADwAAAAAAAAABACAAAAAiAAAAZHJzL2Rvd25yZXYueG1sUEsBAhQAFAAA&#10;AAgAh07iQJe7xUa0AQAAagMAAA4AAAAAAAAAAQAgAAAAKQEAAGRycy9lMm9Eb2MueG1sUEsFBgAA&#10;AAAGAAYAWQEAAE8FAAAAAA==&#10;">
                <v:fill on="t" focussize="0,0"/>
                <v:stroke on="f"/>
                <v:imagedata o:title=""/>
                <o:lock v:ext="edit" aspectratio="f"/>
                <v:textbox>
                  <w:txbxContent>
                    <w:p/>
                  </w:txbxContent>
                </v:textbox>
              </v:rect>
            </w:pict>
          </mc:Fallback>
        </mc:AlternateContent>
      </w:r>
      <w:bookmarkEnd w:id="1"/>
      <w:r>
        <w:rPr>
          <w:rFonts w:hint="eastAsia" w:hAnsi="黑体" w:cs="黑体"/>
          <w:w w:val="100"/>
        </w:rPr>
        <w:t>辽宁省</w:t>
      </w:r>
      <w:r>
        <w:rPr>
          <w:rFonts w:hint="eastAsia" w:hAnsi="黑体" w:cs="黑体"/>
          <w:w w:val="100"/>
          <w:szCs w:val="22"/>
        </w:rPr>
        <w:t>市场监督管理局</w:t>
      </w:r>
      <w:r>
        <w:rPr>
          <w:rFonts w:hint="eastAsia" w:hAnsi="黑体" w:cs="黑体"/>
          <w:w w:val="100"/>
          <w:szCs w:val="22"/>
          <w:lang w:eastAsia="zh-CN"/>
        </w:rPr>
        <w:t>　</w:t>
      </w:r>
      <w:r>
        <w:rPr>
          <w:rFonts w:hint="eastAsia" w:hAnsi="黑体" w:cs="黑体"/>
          <w:w w:val="100"/>
          <w:szCs w:val="22"/>
        </w:rPr>
        <w:t>发布</w:t>
      </w:r>
    </w:p>
    <w:p>
      <w:pPr>
        <w:pStyle w:val="30"/>
        <w:sectPr>
          <w:headerReference r:id="rId3" w:type="even"/>
          <w:footerReference r:id="rId4" w:type="even"/>
          <w:pgSz w:w="11906" w:h="16838"/>
          <w:pgMar w:top="567" w:right="1134" w:bottom="1134" w:left="1417" w:header="0" w:footer="0" w:gutter="0"/>
          <w:pgNumType w:fmt="upperRoman" w:start="1"/>
          <w:cols w:space="720" w:num="1"/>
          <w:docGrid w:type="lines" w:linePitch="312" w:charSpace="0"/>
        </w:sectPr>
      </w:pPr>
      <w:r>
        <w:rPr>
          <w:rFonts w:hint="eastAsia" w:ascii="黑体" w:hAnsi="黑体" w:eastAsia="黑体" w:cs="黑体"/>
        </w:rPr>
        <mc:AlternateContent>
          <mc:Choice Requires="wps">
            <w:drawing>
              <wp:anchor distT="0" distB="0" distL="114300" distR="114300" simplePos="0" relativeHeight="251665408" behindDoc="0" locked="0" layoutInCell="1" allowOverlap="1">
                <wp:simplePos x="0" y="0"/>
                <wp:positionH relativeFrom="column">
                  <wp:posOffset>-635</wp:posOffset>
                </wp:positionH>
                <wp:positionV relativeFrom="paragraph">
                  <wp:posOffset>2333625</wp:posOffset>
                </wp:positionV>
                <wp:extent cx="6062345" cy="6350"/>
                <wp:effectExtent l="0" t="4445" r="3175" b="12065"/>
                <wp:wrapNone/>
                <wp:docPr id="11" name="直接连接符 11"/>
                <wp:cNvGraphicFramePr/>
                <a:graphic xmlns:a="http://schemas.openxmlformats.org/drawingml/2006/main">
                  <a:graphicData uri="http://schemas.microsoft.com/office/word/2010/wordprocessingShape">
                    <wps:wsp>
                      <wps:cNvCnPr/>
                      <wps:spPr>
                        <a:xfrm flipV="1">
                          <a:off x="0" y="0"/>
                          <a:ext cx="6062345" cy="635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0.05pt;margin-top:183.75pt;height:0.5pt;width:477.35pt;z-index:251665408;mso-width-relative:page;mso-height-relative:page;" filled="f" stroked="t" coordsize="21600,21600" o:gfxdata="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6I2+V2AAAAAkBAAAPAAAAAAAAAAEAIAAAACIAAABkcnMvZG93&#10;bnJldi54bWxQSwECFAAUAAAACACHTuJAKIAFsgACAADzAwAADgAAAAAAAAABACAAAAAnAQAAZHJz&#10;L2Uyb0RvYy54bWxQSwUGAAAAAAYABgBZAQAAmQUAAAAA&#10;">
                <v:fill on="f" focussize="0,0"/>
                <v:stroke color="#000000" joinstyle="round"/>
                <v:imagedata o:title=""/>
                <o:lock v:ext="edit" aspectratio="f"/>
              </v:line>
            </w:pict>
          </mc:Fallback>
        </mc:AlternateContent>
      </w:r>
      <w:r>
        <w:rPr>
          <w:rFonts w:hint="eastAsia" w:ascii="黑体" w:hAnsi="黑体" w:eastAsia="黑体" w:cs="黑体"/>
        </w:rPr>
        <mc:AlternateContent>
          <mc:Choice Requires="wps">
            <w:drawing>
              <wp:anchor distT="0" distB="0" distL="114300" distR="114300" simplePos="0" relativeHeight="251666432" behindDoc="0" locked="0" layoutInCell="1" allowOverlap="1">
                <wp:simplePos x="0" y="0"/>
                <wp:positionH relativeFrom="column">
                  <wp:posOffset>34925</wp:posOffset>
                </wp:positionH>
                <wp:positionV relativeFrom="paragraph">
                  <wp:posOffset>8851900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75pt;margin-top:697pt;height:0pt;width:481.9pt;z-index:251666432;mso-width-relative:page;mso-height-relative:page;" filled="f" stroked="t" coordsize="21600,21600" o:gfxdata="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zmbKldYAAAALAQAADwAAAAAAAAABACAAAAAiAAAAZHJzL2Rvd25yZXYueG1sUEsBAhQA&#10;FAAAAAgAh07iQI50ZUH0AQAA5AMAAA4AAAAAAAAAAQAgAAAAJQEAAGRycy9lMm9Eb2MueG1sUEsF&#10;BgAAAAAGAAYAWQEAAIsFAAAAAA==&#10;">
                <v:fill on="f" focussize="0,0"/>
                <v:stroke color="#000000" joinstyle="round"/>
                <v:imagedata o:title=""/>
                <o:lock v:ext="edit" aspectratio="f"/>
              </v:line>
            </w:pict>
          </mc:Fallback>
        </mc:AlternateContent>
      </w:r>
    </w:p>
    <w:p>
      <w:pPr>
        <w:jc w:val="center"/>
        <w:rPr>
          <w:rFonts w:hint="eastAsia" w:ascii="黑体" w:hAnsi="黑体" w:eastAsia="黑体" w:cs="黑体"/>
          <w:sz w:val="32"/>
          <w:szCs w:val="32"/>
        </w:rPr>
      </w:pPr>
      <w:r>
        <w:rPr>
          <w:rFonts w:hint="eastAsia" w:ascii="黑体" w:hAnsi="黑体" w:eastAsia="黑体" w:cs="黑体"/>
          <w:sz w:val="32"/>
          <w:szCs w:val="32"/>
        </w:rPr>
        <w:t>目</w:t>
      </w:r>
      <w:r>
        <w:rPr>
          <w:rFonts w:hint="eastAsia" w:ascii="黑体" w:hAnsi="黑体" w:eastAsia="黑体" w:cs="黑体"/>
          <w:sz w:val="32"/>
          <w:szCs w:val="32"/>
          <w:lang w:eastAsia="zh-CN"/>
        </w:rPr>
        <w:t>　</w:t>
      </w:r>
      <w:r>
        <w:rPr>
          <w:rFonts w:hint="eastAsia" w:ascii="黑体" w:hAnsi="黑体" w:eastAsia="黑体" w:cs="黑体"/>
          <w:sz w:val="32"/>
          <w:szCs w:val="32"/>
        </w:rPr>
        <w:t>次</w:t>
      </w:r>
    </w:p>
    <w:p>
      <w:pPr>
        <w:pStyle w:val="6"/>
        <w:tabs>
          <w:tab w:val="right" w:leader="dot" w:pos="9355"/>
          <w:tab w:val="clear" w:pos="9242"/>
        </w:tabs>
      </w:pPr>
      <w:r>
        <w:rPr>
          <w:rFonts w:hint="eastAsia"/>
        </w:rPr>
        <w:fldChar w:fldCharType="begin"/>
      </w:r>
      <w:r>
        <w:rPr>
          <w:rFonts w:hint="eastAsia"/>
        </w:rPr>
        <w:instrText xml:space="preserve">TOC \o "1-3" \h \u </w:instrText>
      </w:r>
      <w:r>
        <w:rPr>
          <w:rFonts w:hint="eastAsia"/>
        </w:rPr>
        <w:fldChar w:fldCharType="separate"/>
      </w:r>
      <w:r>
        <w:rPr>
          <w:rFonts w:hint="eastAsia"/>
        </w:rPr>
        <w:fldChar w:fldCharType="begin"/>
      </w:r>
      <w:r>
        <w:rPr>
          <w:rFonts w:hint="eastAsia"/>
        </w:rPr>
        <w:instrText xml:space="preserve"> HYPERLINK \l _Toc17442 </w:instrText>
      </w:r>
      <w:r>
        <w:rPr>
          <w:rFonts w:hint="eastAsia"/>
        </w:rPr>
        <w:fldChar w:fldCharType="separate"/>
      </w:r>
      <w:r>
        <w:rPr>
          <w:rFonts w:hint="eastAsia"/>
        </w:rPr>
        <w:t>前言</w:t>
      </w:r>
      <w:r>
        <w:tab/>
      </w:r>
      <w:r>
        <w:fldChar w:fldCharType="begin"/>
      </w:r>
      <w:r>
        <w:instrText xml:space="preserve"> PAGEREF _Toc17442 \h </w:instrText>
      </w:r>
      <w:r>
        <w:fldChar w:fldCharType="separate"/>
      </w:r>
      <w:r>
        <w:t>III</w:t>
      </w:r>
      <w:r>
        <w:fldChar w:fldCharType="end"/>
      </w:r>
      <w:r>
        <w:rPr>
          <w:rFonts w:hint="eastAsia"/>
        </w:rPr>
        <w:fldChar w:fldCharType="end"/>
      </w:r>
    </w:p>
    <w:p>
      <w:pPr>
        <w:pStyle w:val="7"/>
        <w:tabs>
          <w:tab w:val="right" w:leader="dot" w:pos="9355"/>
          <w:tab w:val="clear" w:pos="9242"/>
        </w:tabs>
      </w:pPr>
      <w:r>
        <w:rPr>
          <w:rFonts w:hint="eastAsia"/>
        </w:rPr>
        <w:fldChar w:fldCharType="begin"/>
      </w:r>
      <w:r>
        <w:rPr>
          <w:rFonts w:hint="eastAsia"/>
        </w:rPr>
        <w:instrText xml:space="preserve"> HYPERLINK \l _Toc13277 </w:instrText>
      </w:r>
      <w:r>
        <w:rPr>
          <w:rFonts w:hint="eastAsia"/>
        </w:rPr>
        <w:fldChar w:fldCharType="separate"/>
      </w:r>
      <w:r>
        <w:rPr>
          <w:rFonts w:hint="eastAsia" w:ascii="黑体" w:hAnsi="Times New Roman" w:eastAsia="黑体"/>
          <w:i w:val="0"/>
          <w:szCs w:val="21"/>
        </w:rPr>
        <w:t>1</w:t>
      </w:r>
      <w:r>
        <w:rPr>
          <w:rFonts w:hint="eastAsia" w:ascii="黑体" w:eastAsia="黑体"/>
          <w:i w:val="0"/>
          <w:szCs w:val="21"/>
          <w:lang w:eastAsia="zh-CN"/>
        </w:rPr>
        <w:t>　</w:t>
      </w:r>
      <w:r>
        <w:rPr>
          <w:rFonts w:hint="eastAsia"/>
        </w:rPr>
        <w:t>范围</w:t>
      </w:r>
      <w:r>
        <w:tab/>
      </w:r>
      <w:r>
        <w:fldChar w:fldCharType="begin"/>
      </w:r>
      <w:r>
        <w:instrText xml:space="preserve"> PAGEREF _Toc13277 \h </w:instrText>
      </w:r>
      <w:r>
        <w:fldChar w:fldCharType="separate"/>
      </w:r>
      <w:r>
        <w:t>1</w:t>
      </w:r>
      <w:r>
        <w:fldChar w:fldCharType="end"/>
      </w:r>
      <w:r>
        <w:rPr>
          <w:rFonts w:hint="eastAsia"/>
        </w:rPr>
        <w:fldChar w:fldCharType="end"/>
      </w:r>
    </w:p>
    <w:p>
      <w:pPr>
        <w:pStyle w:val="7"/>
        <w:tabs>
          <w:tab w:val="right" w:leader="dot" w:pos="9355"/>
          <w:tab w:val="clear" w:pos="9242"/>
        </w:tabs>
      </w:pPr>
      <w:r>
        <w:rPr>
          <w:rFonts w:hint="eastAsia"/>
        </w:rPr>
        <w:fldChar w:fldCharType="begin"/>
      </w:r>
      <w:r>
        <w:rPr>
          <w:rFonts w:hint="eastAsia"/>
        </w:rPr>
        <w:instrText xml:space="preserve"> HYPERLINK \l _Toc14049 </w:instrText>
      </w:r>
      <w:r>
        <w:rPr>
          <w:rFonts w:hint="eastAsia"/>
        </w:rPr>
        <w:fldChar w:fldCharType="separate"/>
      </w:r>
      <w:r>
        <w:rPr>
          <w:rFonts w:hint="eastAsia" w:ascii="黑体" w:hAnsi="Times New Roman" w:eastAsia="黑体"/>
          <w:i w:val="0"/>
          <w:szCs w:val="21"/>
        </w:rPr>
        <w:t>2</w:t>
      </w:r>
      <w:r>
        <w:rPr>
          <w:rFonts w:hint="eastAsia" w:ascii="黑体" w:eastAsia="黑体"/>
          <w:i w:val="0"/>
          <w:szCs w:val="21"/>
          <w:lang w:eastAsia="zh-CN"/>
        </w:rPr>
        <w:t>　</w:t>
      </w:r>
      <w:r>
        <w:rPr>
          <w:rFonts w:hint="eastAsia"/>
        </w:rPr>
        <w:t>规范性引用文件</w:t>
      </w:r>
      <w:r>
        <w:tab/>
      </w:r>
      <w:r>
        <w:fldChar w:fldCharType="begin"/>
      </w:r>
      <w:r>
        <w:instrText xml:space="preserve"> PAGEREF _Toc14049 \h </w:instrText>
      </w:r>
      <w:r>
        <w:fldChar w:fldCharType="separate"/>
      </w:r>
      <w:r>
        <w:t>1</w:t>
      </w:r>
      <w:r>
        <w:fldChar w:fldCharType="end"/>
      </w:r>
      <w:r>
        <w:rPr>
          <w:rFonts w:hint="eastAsia"/>
        </w:rPr>
        <w:fldChar w:fldCharType="end"/>
      </w:r>
    </w:p>
    <w:p>
      <w:pPr>
        <w:pStyle w:val="7"/>
        <w:tabs>
          <w:tab w:val="right" w:leader="dot" w:pos="9355"/>
          <w:tab w:val="clear" w:pos="9242"/>
        </w:tabs>
      </w:pPr>
      <w:r>
        <w:rPr>
          <w:rFonts w:hint="eastAsia"/>
        </w:rPr>
        <w:fldChar w:fldCharType="begin"/>
      </w:r>
      <w:r>
        <w:rPr>
          <w:rFonts w:hint="eastAsia"/>
        </w:rPr>
        <w:instrText xml:space="preserve"> HYPERLINK \l _Toc20585 </w:instrText>
      </w:r>
      <w:r>
        <w:rPr>
          <w:rFonts w:hint="eastAsia"/>
        </w:rPr>
        <w:fldChar w:fldCharType="separate"/>
      </w:r>
      <w:r>
        <w:rPr>
          <w:rFonts w:hint="eastAsia" w:ascii="黑体" w:hAnsi="Times New Roman" w:eastAsia="黑体"/>
          <w:i w:val="0"/>
          <w:szCs w:val="21"/>
        </w:rPr>
        <w:t>3</w:t>
      </w:r>
      <w:r>
        <w:rPr>
          <w:rFonts w:hint="eastAsia" w:ascii="黑体" w:eastAsia="黑体"/>
          <w:i w:val="0"/>
          <w:szCs w:val="21"/>
          <w:lang w:eastAsia="zh-CN"/>
        </w:rPr>
        <w:t>　</w:t>
      </w:r>
      <w:r>
        <w:rPr>
          <w:rFonts w:hint="eastAsia"/>
        </w:rPr>
        <w:t>术语和定义</w:t>
      </w:r>
      <w:r>
        <w:tab/>
      </w:r>
      <w:r>
        <w:fldChar w:fldCharType="begin"/>
      </w:r>
      <w:r>
        <w:instrText xml:space="preserve"> PAGEREF _Toc20585 \h </w:instrText>
      </w:r>
      <w:r>
        <w:fldChar w:fldCharType="separate"/>
      </w:r>
      <w:r>
        <w:t>1</w:t>
      </w:r>
      <w:r>
        <w:fldChar w:fldCharType="end"/>
      </w:r>
      <w:r>
        <w:rPr>
          <w:rFonts w:hint="eastAsia"/>
        </w:rPr>
        <w:fldChar w:fldCharType="end"/>
      </w:r>
    </w:p>
    <w:p>
      <w:pPr>
        <w:pStyle w:val="7"/>
        <w:tabs>
          <w:tab w:val="right" w:leader="dot" w:pos="9355"/>
          <w:tab w:val="clear" w:pos="9242"/>
        </w:tabs>
      </w:pPr>
      <w:r>
        <w:rPr>
          <w:rFonts w:hint="eastAsia"/>
        </w:rPr>
        <w:fldChar w:fldCharType="begin"/>
      </w:r>
      <w:r>
        <w:rPr>
          <w:rFonts w:hint="eastAsia"/>
        </w:rPr>
        <w:instrText xml:space="preserve"> HYPERLINK \l _Toc29006 </w:instrText>
      </w:r>
      <w:r>
        <w:rPr>
          <w:rFonts w:hint="eastAsia"/>
        </w:rPr>
        <w:fldChar w:fldCharType="separate"/>
      </w:r>
      <w:r>
        <w:rPr>
          <w:rFonts w:hint="eastAsia" w:ascii="黑体" w:hAnsi="Times New Roman" w:eastAsia="黑体"/>
          <w:i w:val="0"/>
          <w:szCs w:val="21"/>
        </w:rPr>
        <w:t>4</w:t>
      </w:r>
      <w:r>
        <w:rPr>
          <w:rFonts w:hint="eastAsia" w:ascii="黑体" w:eastAsia="黑体"/>
          <w:i w:val="0"/>
          <w:szCs w:val="21"/>
          <w:lang w:eastAsia="zh-CN"/>
        </w:rPr>
        <w:t>　</w:t>
      </w:r>
      <w:r>
        <w:rPr>
          <w:rFonts w:hint="eastAsia"/>
          <w:lang w:val="en-US" w:eastAsia="zh-CN"/>
        </w:rPr>
        <w:t>缩略语</w:t>
      </w:r>
      <w:r>
        <w:tab/>
      </w:r>
      <w:r>
        <w:fldChar w:fldCharType="begin"/>
      </w:r>
      <w:r>
        <w:instrText xml:space="preserve"> PAGEREF _Toc29006 \h </w:instrText>
      </w:r>
      <w:r>
        <w:fldChar w:fldCharType="separate"/>
      </w:r>
      <w:r>
        <w:t>2</w:t>
      </w:r>
      <w:r>
        <w:fldChar w:fldCharType="end"/>
      </w:r>
      <w:r>
        <w:rPr>
          <w:rFonts w:hint="eastAsia"/>
        </w:rPr>
        <w:fldChar w:fldCharType="end"/>
      </w:r>
    </w:p>
    <w:p>
      <w:pPr>
        <w:pStyle w:val="7"/>
        <w:tabs>
          <w:tab w:val="right" w:leader="dot" w:pos="9355"/>
          <w:tab w:val="clear" w:pos="9242"/>
        </w:tabs>
      </w:pPr>
      <w:r>
        <w:rPr>
          <w:rFonts w:hint="eastAsia"/>
        </w:rPr>
        <w:fldChar w:fldCharType="begin"/>
      </w:r>
      <w:r>
        <w:rPr>
          <w:rFonts w:hint="eastAsia"/>
        </w:rPr>
        <w:instrText xml:space="preserve"> HYPERLINK \l _Toc31538 </w:instrText>
      </w:r>
      <w:r>
        <w:rPr>
          <w:rFonts w:hint="eastAsia"/>
        </w:rPr>
        <w:fldChar w:fldCharType="separate"/>
      </w:r>
      <w:r>
        <w:rPr>
          <w:rFonts w:hint="eastAsia" w:ascii="黑体" w:hAnsi="Times New Roman" w:eastAsia="黑体"/>
          <w:i w:val="0"/>
          <w:szCs w:val="21"/>
        </w:rPr>
        <w:t>5</w:t>
      </w:r>
      <w:r>
        <w:rPr>
          <w:rFonts w:hint="eastAsia" w:ascii="黑体" w:eastAsia="黑体"/>
          <w:i w:val="0"/>
          <w:szCs w:val="21"/>
          <w:lang w:eastAsia="zh-CN"/>
        </w:rPr>
        <w:t>　</w:t>
      </w:r>
      <w:r>
        <w:rPr>
          <w:rFonts w:hint="eastAsia"/>
          <w:lang w:val="en-US" w:eastAsia="zh-CN"/>
        </w:rPr>
        <w:t>系统架构参考</w:t>
      </w:r>
      <w:r>
        <w:tab/>
      </w:r>
      <w:r>
        <w:fldChar w:fldCharType="begin"/>
      </w:r>
      <w:r>
        <w:instrText xml:space="preserve"> PAGEREF _Toc31538 \h </w:instrText>
      </w:r>
      <w:r>
        <w:fldChar w:fldCharType="separate"/>
      </w:r>
      <w:r>
        <w:t>3</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_Toc8206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5.1</w:t>
      </w:r>
      <w:r>
        <w:rPr>
          <w:rFonts w:hint="eastAsia" w:ascii="黑体" w:eastAsia="黑体" w:cs="Times New Roman"/>
          <w:bCs w:val="0"/>
          <w:i w:val="0"/>
          <w:iCs w:val="0"/>
          <w:caps w:val="0"/>
          <w:strike w:val="0"/>
          <w:dstrike w:val="0"/>
          <w:vanish w:val="0"/>
          <w:spacing w:val="0"/>
          <w:kern w:val="0"/>
          <w:position w:val="0"/>
          <w:szCs w:val="21"/>
          <w:vertAlign w:val="baseline"/>
          <w:lang w:eastAsia="zh-CN"/>
        </w:rPr>
        <w:t>　</w:t>
      </w:r>
      <w:r>
        <w:rPr>
          <w:rFonts w:hint="eastAsia"/>
          <w:szCs w:val="24"/>
        </w:rPr>
        <w:t>整体架构设计</w:t>
      </w:r>
      <w:r>
        <w:tab/>
      </w:r>
      <w:r>
        <w:fldChar w:fldCharType="begin"/>
      </w:r>
      <w:r>
        <w:instrText xml:space="preserve"> PAGEREF _Toc8206 \h </w:instrText>
      </w:r>
      <w:r>
        <w:fldChar w:fldCharType="separate"/>
      </w:r>
      <w:r>
        <w:t>3</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_Toc5202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5.2</w:t>
      </w:r>
      <w:r>
        <w:rPr>
          <w:rFonts w:hint="eastAsia" w:ascii="黑体" w:eastAsia="黑体" w:cs="Times New Roman"/>
          <w:bCs w:val="0"/>
          <w:i w:val="0"/>
          <w:iCs w:val="0"/>
          <w:caps w:val="0"/>
          <w:strike w:val="0"/>
          <w:dstrike w:val="0"/>
          <w:vanish w:val="0"/>
          <w:spacing w:val="0"/>
          <w:kern w:val="0"/>
          <w:position w:val="0"/>
          <w:szCs w:val="21"/>
          <w:vertAlign w:val="baseline"/>
          <w:lang w:eastAsia="zh-CN"/>
        </w:rPr>
        <w:t>　</w:t>
      </w:r>
      <w:r>
        <w:rPr>
          <w:rFonts w:hint="eastAsia"/>
          <w:szCs w:val="24"/>
        </w:rPr>
        <w:t>数据平台</w:t>
      </w:r>
      <w:r>
        <w:tab/>
      </w:r>
      <w:r>
        <w:fldChar w:fldCharType="begin"/>
      </w:r>
      <w:r>
        <w:instrText xml:space="preserve"> PAGEREF _Toc5202 \h </w:instrText>
      </w:r>
      <w:r>
        <w:fldChar w:fldCharType="separate"/>
      </w:r>
      <w:r>
        <w:t>4</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_Toc20397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5.3</w:t>
      </w:r>
      <w:r>
        <w:rPr>
          <w:rFonts w:hint="eastAsia" w:ascii="黑体" w:eastAsia="黑体" w:cs="Times New Roman"/>
          <w:bCs w:val="0"/>
          <w:i w:val="0"/>
          <w:iCs w:val="0"/>
          <w:caps w:val="0"/>
          <w:strike w:val="0"/>
          <w:dstrike w:val="0"/>
          <w:vanish w:val="0"/>
          <w:spacing w:val="0"/>
          <w:kern w:val="0"/>
          <w:position w:val="0"/>
          <w:szCs w:val="21"/>
          <w:vertAlign w:val="baseline"/>
          <w:lang w:eastAsia="zh-CN"/>
        </w:rPr>
        <w:t>　</w:t>
      </w:r>
      <w:r>
        <w:rPr>
          <w:rFonts w:hint="eastAsia"/>
          <w:szCs w:val="24"/>
        </w:rPr>
        <w:t>应用平台</w:t>
      </w:r>
      <w:r>
        <w:tab/>
      </w:r>
      <w:r>
        <w:fldChar w:fldCharType="begin"/>
      </w:r>
      <w:r>
        <w:instrText xml:space="preserve"> PAGEREF _Toc20397 \h </w:instrText>
      </w:r>
      <w:r>
        <w:fldChar w:fldCharType="separate"/>
      </w:r>
      <w:r>
        <w:t>5</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_Toc21272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5.4</w:t>
      </w:r>
      <w:r>
        <w:rPr>
          <w:rFonts w:hint="eastAsia" w:ascii="黑体" w:eastAsia="黑体" w:cs="Times New Roman"/>
          <w:bCs w:val="0"/>
          <w:i w:val="0"/>
          <w:iCs w:val="0"/>
          <w:caps w:val="0"/>
          <w:strike w:val="0"/>
          <w:dstrike w:val="0"/>
          <w:vanish w:val="0"/>
          <w:spacing w:val="0"/>
          <w:kern w:val="0"/>
          <w:position w:val="0"/>
          <w:szCs w:val="21"/>
          <w:vertAlign w:val="baseline"/>
          <w:lang w:eastAsia="zh-CN"/>
        </w:rPr>
        <w:t>　</w:t>
      </w:r>
      <w:r>
        <w:rPr>
          <w:rFonts w:hint="eastAsia"/>
          <w:szCs w:val="24"/>
        </w:rPr>
        <w:t>管理平台</w:t>
      </w:r>
      <w:r>
        <w:tab/>
      </w:r>
      <w:r>
        <w:fldChar w:fldCharType="begin"/>
      </w:r>
      <w:r>
        <w:instrText xml:space="preserve"> PAGEREF _Toc21272 \h </w:instrText>
      </w:r>
      <w:r>
        <w:fldChar w:fldCharType="separate"/>
      </w:r>
      <w:r>
        <w:t>5</w:t>
      </w:r>
      <w:r>
        <w:fldChar w:fldCharType="end"/>
      </w:r>
      <w:r>
        <w:rPr>
          <w:rFonts w:hint="eastAsia"/>
        </w:rPr>
        <w:fldChar w:fldCharType="end"/>
      </w:r>
    </w:p>
    <w:p>
      <w:pPr>
        <w:pStyle w:val="7"/>
        <w:tabs>
          <w:tab w:val="right" w:leader="dot" w:pos="9355"/>
          <w:tab w:val="clear" w:pos="9242"/>
        </w:tabs>
      </w:pPr>
      <w:r>
        <w:rPr>
          <w:rFonts w:hint="eastAsia"/>
        </w:rPr>
        <w:fldChar w:fldCharType="begin"/>
      </w:r>
      <w:r>
        <w:rPr>
          <w:rFonts w:hint="eastAsia"/>
        </w:rPr>
        <w:instrText xml:space="preserve"> HYPERLINK \l _Toc28306 </w:instrText>
      </w:r>
      <w:r>
        <w:rPr>
          <w:rFonts w:hint="eastAsia"/>
        </w:rPr>
        <w:fldChar w:fldCharType="separate"/>
      </w:r>
      <w:r>
        <w:rPr>
          <w:rFonts w:hint="eastAsia" w:ascii="黑体" w:hAnsi="Times New Roman" w:eastAsia="黑体"/>
          <w:i w:val="0"/>
          <w:szCs w:val="21"/>
          <w:lang w:val="en-US" w:eastAsia="zh-CN"/>
        </w:rPr>
        <w:t>6</w:t>
      </w:r>
      <w:r>
        <w:rPr>
          <w:rFonts w:hint="eastAsia" w:ascii="黑体" w:eastAsia="黑体"/>
          <w:i w:val="0"/>
          <w:szCs w:val="21"/>
          <w:lang w:val="en-US" w:eastAsia="zh-CN"/>
        </w:rPr>
        <w:t>　</w:t>
      </w:r>
      <w:r>
        <w:rPr>
          <w:rFonts w:hint="eastAsia"/>
          <w:szCs w:val="22"/>
          <w:lang w:val="en-US" w:eastAsia="zh-CN"/>
        </w:rPr>
        <w:t>数据平台关键功能参考</w:t>
      </w:r>
      <w:r>
        <w:tab/>
      </w:r>
      <w:r>
        <w:fldChar w:fldCharType="begin"/>
      </w:r>
      <w:r>
        <w:instrText xml:space="preserve"> PAGEREF _Toc28306 \h </w:instrText>
      </w:r>
      <w:r>
        <w:fldChar w:fldCharType="separate"/>
      </w:r>
      <w:r>
        <w:t>5</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_Toc6239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6.1</w:t>
      </w:r>
      <w:r>
        <w:rPr>
          <w:rFonts w:hint="eastAsia" w:ascii="黑体" w:eastAsia="黑体" w:cs="Times New Roman"/>
          <w:bCs w:val="0"/>
          <w:i w:val="0"/>
          <w:iCs w:val="0"/>
          <w:caps w:val="0"/>
          <w:strike w:val="0"/>
          <w:dstrike w:val="0"/>
          <w:vanish w:val="0"/>
          <w:spacing w:val="0"/>
          <w:kern w:val="0"/>
          <w:position w:val="0"/>
          <w:szCs w:val="21"/>
          <w:vertAlign w:val="baseline"/>
          <w:lang w:eastAsia="zh-CN"/>
        </w:rPr>
        <w:t>　</w:t>
      </w:r>
      <w:r>
        <w:rPr>
          <w:rFonts w:hint="eastAsia"/>
          <w:szCs w:val="24"/>
        </w:rPr>
        <w:t>数据汇集功能</w:t>
      </w:r>
      <w:r>
        <w:tab/>
      </w:r>
      <w:r>
        <w:fldChar w:fldCharType="begin"/>
      </w:r>
      <w:r>
        <w:instrText xml:space="preserve"> PAGEREF _Toc6239 \h </w:instrText>
      </w:r>
      <w:r>
        <w:fldChar w:fldCharType="separate"/>
      </w:r>
      <w:r>
        <w:t>6</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_Toc7673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6.2</w:t>
      </w:r>
      <w:r>
        <w:rPr>
          <w:rFonts w:hint="eastAsia" w:ascii="黑体" w:eastAsia="黑体" w:cs="Times New Roman"/>
          <w:bCs w:val="0"/>
          <w:i w:val="0"/>
          <w:iCs w:val="0"/>
          <w:caps w:val="0"/>
          <w:strike w:val="0"/>
          <w:dstrike w:val="0"/>
          <w:vanish w:val="0"/>
          <w:spacing w:val="0"/>
          <w:kern w:val="0"/>
          <w:position w:val="0"/>
          <w:szCs w:val="21"/>
          <w:vertAlign w:val="baseline"/>
          <w:lang w:eastAsia="zh-CN"/>
        </w:rPr>
        <w:t>　</w:t>
      </w:r>
      <w:r>
        <w:rPr>
          <w:rFonts w:hint="eastAsia"/>
          <w:szCs w:val="24"/>
        </w:rPr>
        <w:t>数据发送功能</w:t>
      </w:r>
      <w:r>
        <w:tab/>
      </w:r>
      <w:r>
        <w:fldChar w:fldCharType="begin"/>
      </w:r>
      <w:r>
        <w:instrText xml:space="preserve"> PAGEREF _Toc7673 \h </w:instrText>
      </w:r>
      <w:r>
        <w:fldChar w:fldCharType="separate"/>
      </w:r>
      <w:r>
        <w:t>6</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_Toc23833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6.3</w:t>
      </w:r>
      <w:r>
        <w:rPr>
          <w:rFonts w:hint="eastAsia" w:ascii="黑体" w:eastAsia="黑体" w:cs="Times New Roman"/>
          <w:bCs w:val="0"/>
          <w:i w:val="0"/>
          <w:iCs w:val="0"/>
          <w:caps w:val="0"/>
          <w:strike w:val="0"/>
          <w:dstrike w:val="0"/>
          <w:vanish w:val="0"/>
          <w:spacing w:val="0"/>
          <w:kern w:val="0"/>
          <w:position w:val="0"/>
          <w:szCs w:val="21"/>
          <w:vertAlign w:val="baseline"/>
          <w:lang w:eastAsia="zh-CN"/>
        </w:rPr>
        <w:t>　</w:t>
      </w:r>
      <w:r>
        <w:rPr>
          <w:rFonts w:hint="eastAsia"/>
          <w:szCs w:val="24"/>
        </w:rPr>
        <w:t>数据存储功能</w:t>
      </w:r>
      <w:r>
        <w:tab/>
      </w:r>
      <w:r>
        <w:fldChar w:fldCharType="begin"/>
      </w:r>
      <w:r>
        <w:instrText xml:space="preserve"> PAGEREF _Toc23833 \h </w:instrText>
      </w:r>
      <w:r>
        <w:fldChar w:fldCharType="separate"/>
      </w:r>
      <w:r>
        <w:t>6</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_Toc25893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6.4</w:t>
      </w:r>
      <w:r>
        <w:rPr>
          <w:rFonts w:hint="eastAsia" w:ascii="黑体" w:eastAsia="黑体" w:cs="Times New Roman"/>
          <w:bCs w:val="0"/>
          <w:i w:val="0"/>
          <w:iCs w:val="0"/>
          <w:caps w:val="0"/>
          <w:strike w:val="0"/>
          <w:dstrike w:val="0"/>
          <w:vanish w:val="0"/>
          <w:spacing w:val="0"/>
          <w:kern w:val="0"/>
          <w:position w:val="0"/>
          <w:szCs w:val="21"/>
          <w:vertAlign w:val="baseline"/>
          <w:lang w:eastAsia="zh-CN"/>
        </w:rPr>
        <w:t>　</w:t>
      </w:r>
      <w:r>
        <w:rPr>
          <w:rFonts w:hint="eastAsia"/>
          <w:szCs w:val="24"/>
        </w:rPr>
        <w:t>数据查询分析</w:t>
      </w:r>
      <w:r>
        <w:tab/>
      </w:r>
      <w:r>
        <w:fldChar w:fldCharType="begin"/>
      </w:r>
      <w:r>
        <w:instrText xml:space="preserve"> PAGEREF _Toc25893 \h </w:instrText>
      </w:r>
      <w:r>
        <w:fldChar w:fldCharType="separate"/>
      </w:r>
      <w:r>
        <w:t>6</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_Toc7464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6.5</w:t>
      </w:r>
      <w:r>
        <w:rPr>
          <w:rFonts w:hint="eastAsia" w:ascii="黑体" w:eastAsia="黑体" w:cs="Times New Roman"/>
          <w:bCs w:val="0"/>
          <w:i w:val="0"/>
          <w:iCs w:val="0"/>
          <w:caps w:val="0"/>
          <w:strike w:val="0"/>
          <w:dstrike w:val="0"/>
          <w:vanish w:val="0"/>
          <w:spacing w:val="0"/>
          <w:kern w:val="0"/>
          <w:position w:val="0"/>
          <w:szCs w:val="21"/>
          <w:vertAlign w:val="baseline"/>
          <w:lang w:eastAsia="zh-CN"/>
        </w:rPr>
        <w:t>　</w:t>
      </w:r>
      <w:r>
        <w:rPr>
          <w:rFonts w:hint="eastAsia"/>
          <w:szCs w:val="24"/>
        </w:rPr>
        <w:t>信息发布功能</w:t>
      </w:r>
      <w:r>
        <w:tab/>
      </w:r>
      <w:r>
        <w:fldChar w:fldCharType="begin"/>
      </w:r>
      <w:r>
        <w:instrText xml:space="preserve"> PAGEREF _Toc7464 \h </w:instrText>
      </w:r>
      <w:r>
        <w:fldChar w:fldCharType="separate"/>
      </w:r>
      <w:r>
        <w:t>7</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_Toc25431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6.6</w:t>
      </w:r>
      <w:r>
        <w:rPr>
          <w:rFonts w:hint="eastAsia" w:ascii="黑体" w:eastAsia="黑体" w:cs="Times New Roman"/>
          <w:bCs w:val="0"/>
          <w:i w:val="0"/>
          <w:iCs w:val="0"/>
          <w:caps w:val="0"/>
          <w:strike w:val="0"/>
          <w:dstrike w:val="0"/>
          <w:vanish w:val="0"/>
          <w:spacing w:val="0"/>
          <w:kern w:val="0"/>
          <w:position w:val="0"/>
          <w:szCs w:val="21"/>
          <w:vertAlign w:val="baseline"/>
          <w:lang w:eastAsia="zh-CN"/>
        </w:rPr>
        <w:t>　</w:t>
      </w:r>
      <w:r>
        <w:rPr>
          <w:rFonts w:hint="eastAsia"/>
          <w:szCs w:val="24"/>
        </w:rPr>
        <w:t>日志管理功能</w:t>
      </w:r>
      <w:r>
        <w:tab/>
      </w:r>
      <w:r>
        <w:fldChar w:fldCharType="begin"/>
      </w:r>
      <w:r>
        <w:instrText xml:space="preserve"> PAGEREF _Toc25431 \h </w:instrText>
      </w:r>
      <w:r>
        <w:fldChar w:fldCharType="separate"/>
      </w:r>
      <w:r>
        <w:t>7</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_Toc27155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6.7</w:t>
      </w:r>
      <w:r>
        <w:rPr>
          <w:rFonts w:hint="eastAsia" w:ascii="黑体" w:eastAsia="黑体" w:cs="Times New Roman"/>
          <w:bCs w:val="0"/>
          <w:i w:val="0"/>
          <w:iCs w:val="0"/>
          <w:caps w:val="0"/>
          <w:strike w:val="0"/>
          <w:dstrike w:val="0"/>
          <w:vanish w:val="0"/>
          <w:spacing w:val="0"/>
          <w:kern w:val="0"/>
          <w:position w:val="0"/>
          <w:szCs w:val="21"/>
          <w:vertAlign w:val="baseline"/>
          <w:lang w:eastAsia="zh-CN"/>
        </w:rPr>
        <w:t>　</w:t>
      </w:r>
      <w:r>
        <w:rPr>
          <w:rFonts w:hint="eastAsia"/>
          <w:szCs w:val="24"/>
        </w:rPr>
        <w:t>账号管理功能</w:t>
      </w:r>
      <w:r>
        <w:tab/>
      </w:r>
      <w:r>
        <w:fldChar w:fldCharType="begin"/>
      </w:r>
      <w:r>
        <w:instrText xml:space="preserve"> PAGEREF _Toc27155 \h </w:instrText>
      </w:r>
      <w:r>
        <w:fldChar w:fldCharType="separate"/>
      </w:r>
      <w:r>
        <w:t>7</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_Toc7735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6.8</w:t>
      </w:r>
      <w:r>
        <w:rPr>
          <w:rFonts w:hint="eastAsia" w:ascii="黑体" w:eastAsia="黑体" w:cs="Times New Roman"/>
          <w:bCs w:val="0"/>
          <w:i w:val="0"/>
          <w:iCs w:val="0"/>
          <w:caps w:val="0"/>
          <w:strike w:val="0"/>
          <w:dstrike w:val="0"/>
          <w:vanish w:val="0"/>
          <w:spacing w:val="0"/>
          <w:kern w:val="0"/>
          <w:position w:val="0"/>
          <w:szCs w:val="21"/>
          <w:vertAlign w:val="baseline"/>
          <w:lang w:eastAsia="zh-CN"/>
        </w:rPr>
        <w:t>　</w:t>
      </w:r>
      <w:r>
        <w:rPr>
          <w:rFonts w:hint="eastAsia"/>
          <w:szCs w:val="24"/>
        </w:rPr>
        <w:t>角色管理功能</w:t>
      </w:r>
      <w:r>
        <w:tab/>
      </w:r>
      <w:r>
        <w:fldChar w:fldCharType="begin"/>
      </w:r>
      <w:r>
        <w:instrText xml:space="preserve"> PAGEREF _Toc7735 \h </w:instrText>
      </w:r>
      <w:r>
        <w:fldChar w:fldCharType="separate"/>
      </w:r>
      <w:r>
        <w:t>8</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_Toc27693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6.9</w:t>
      </w:r>
      <w:r>
        <w:rPr>
          <w:rFonts w:hint="eastAsia" w:ascii="黑体" w:eastAsia="黑体" w:cs="Times New Roman"/>
          <w:bCs w:val="0"/>
          <w:i w:val="0"/>
          <w:iCs w:val="0"/>
          <w:caps w:val="0"/>
          <w:strike w:val="0"/>
          <w:dstrike w:val="0"/>
          <w:vanish w:val="0"/>
          <w:spacing w:val="0"/>
          <w:kern w:val="0"/>
          <w:position w:val="0"/>
          <w:szCs w:val="21"/>
          <w:vertAlign w:val="baseline"/>
          <w:lang w:eastAsia="zh-CN"/>
        </w:rPr>
        <w:t>　</w:t>
      </w:r>
      <w:r>
        <w:rPr>
          <w:rFonts w:hint="eastAsia"/>
          <w:szCs w:val="24"/>
        </w:rPr>
        <w:t>组织管理功能</w:t>
      </w:r>
      <w:r>
        <w:tab/>
      </w:r>
      <w:r>
        <w:fldChar w:fldCharType="begin"/>
      </w:r>
      <w:r>
        <w:instrText xml:space="preserve"> PAGEREF _Toc27693 \h </w:instrText>
      </w:r>
      <w:r>
        <w:fldChar w:fldCharType="separate"/>
      </w:r>
      <w:r>
        <w:t>8</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_Toc14551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6.10</w:t>
      </w:r>
      <w:r>
        <w:rPr>
          <w:rFonts w:hint="eastAsia" w:ascii="黑体" w:eastAsia="黑体" w:cs="Times New Roman"/>
          <w:bCs w:val="0"/>
          <w:i w:val="0"/>
          <w:iCs w:val="0"/>
          <w:caps w:val="0"/>
          <w:strike w:val="0"/>
          <w:dstrike w:val="0"/>
          <w:vanish w:val="0"/>
          <w:spacing w:val="0"/>
          <w:kern w:val="0"/>
          <w:position w:val="0"/>
          <w:szCs w:val="21"/>
          <w:vertAlign w:val="baseline"/>
          <w:lang w:val="en-US" w:eastAsia="zh-CN"/>
        </w:rPr>
        <w:t>　</w:t>
      </w:r>
      <w:r>
        <w:rPr>
          <w:rFonts w:hint="eastAsia"/>
          <w:szCs w:val="24"/>
        </w:rPr>
        <w:t>系统配置功能</w:t>
      </w:r>
      <w:r>
        <w:tab/>
      </w:r>
      <w:r>
        <w:fldChar w:fldCharType="begin"/>
      </w:r>
      <w:r>
        <w:instrText xml:space="preserve"> PAGEREF _Toc14551 \h </w:instrText>
      </w:r>
      <w:r>
        <w:fldChar w:fldCharType="separate"/>
      </w:r>
      <w:r>
        <w:t>8</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_Toc3625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6.11</w:t>
      </w:r>
      <w:r>
        <w:rPr>
          <w:rFonts w:hint="eastAsia" w:ascii="黑体" w:eastAsia="黑体" w:cs="Times New Roman"/>
          <w:bCs w:val="0"/>
          <w:i w:val="0"/>
          <w:iCs w:val="0"/>
          <w:caps w:val="0"/>
          <w:strike w:val="0"/>
          <w:dstrike w:val="0"/>
          <w:vanish w:val="0"/>
          <w:spacing w:val="0"/>
          <w:kern w:val="0"/>
          <w:position w:val="0"/>
          <w:szCs w:val="21"/>
          <w:vertAlign w:val="baseline"/>
          <w:lang w:val="en-US" w:eastAsia="zh-CN"/>
        </w:rPr>
        <w:t>　</w:t>
      </w:r>
      <w:r>
        <w:rPr>
          <w:rFonts w:hint="eastAsia"/>
          <w:szCs w:val="24"/>
        </w:rPr>
        <w:t>安全管理功能</w:t>
      </w:r>
      <w:r>
        <w:tab/>
      </w:r>
      <w:r>
        <w:fldChar w:fldCharType="begin"/>
      </w:r>
      <w:r>
        <w:instrText xml:space="preserve"> PAGEREF _Toc3625 \h </w:instrText>
      </w:r>
      <w:r>
        <w:fldChar w:fldCharType="separate"/>
      </w:r>
      <w:r>
        <w:t>8</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_Toc32629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6.12</w:t>
      </w:r>
      <w:r>
        <w:rPr>
          <w:rFonts w:hint="eastAsia" w:ascii="黑体" w:eastAsia="黑体" w:cs="Times New Roman"/>
          <w:bCs w:val="0"/>
          <w:i w:val="0"/>
          <w:iCs w:val="0"/>
          <w:caps w:val="0"/>
          <w:strike w:val="0"/>
          <w:dstrike w:val="0"/>
          <w:vanish w:val="0"/>
          <w:spacing w:val="0"/>
          <w:kern w:val="0"/>
          <w:position w:val="0"/>
          <w:szCs w:val="21"/>
          <w:vertAlign w:val="baseline"/>
          <w:lang w:eastAsia="zh-CN"/>
        </w:rPr>
        <w:t>　</w:t>
      </w:r>
      <w:r>
        <w:rPr>
          <w:rFonts w:hint="eastAsia"/>
          <w:szCs w:val="24"/>
        </w:rPr>
        <w:t>系统监控功能</w:t>
      </w:r>
      <w:r>
        <w:tab/>
      </w:r>
      <w:r>
        <w:fldChar w:fldCharType="begin"/>
      </w:r>
      <w:r>
        <w:instrText xml:space="preserve"> PAGEREF _Toc32629 \h </w:instrText>
      </w:r>
      <w:r>
        <w:fldChar w:fldCharType="separate"/>
      </w:r>
      <w:r>
        <w:t>8</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_Toc11833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6.13</w:t>
      </w:r>
      <w:r>
        <w:rPr>
          <w:rFonts w:hint="eastAsia" w:ascii="黑体" w:eastAsia="黑体" w:cs="Times New Roman"/>
          <w:bCs w:val="0"/>
          <w:i w:val="0"/>
          <w:iCs w:val="0"/>
          <w:caps w:val="0"/>
          <w:strike w:val="0"/>
          <w:dstrike w:val="0"/>
          <w:vanish w:val="0"/>
          <w:spacing w:val="0"/>
          <w:kern w:val="0"/>
          <w:position w:val="0"/>
          <w:szCs w:val="21"/>
          <w:vertAlign w:val="baseline"/>
          <w:lang w:eastAsia="zh-CN"/>
        </w:rPr>
        <w:t>　</w:t>
      </w:r>
      <w:r>
        <w:rPr>
          <w:rFonts w:hint="eastAsia"/>
          <w:szCs w:val="24"/>
        </w:rPr>
        <w:t>响应码要求</w:t>
      </w:r>
      <w:r>
        <w:tab/>
      </w:r>
      <w:r>
        <w:fldChar w:fldCharType="begin"/>
      </w:r>
      <w:r>
        <w:instrText xml:space="preserve"> PAGEREF _Toc11833 \h </w:instrText>
      </w:r>
      <w:r>
        <w:fldChar w:fldCharType="separate"/>
      </w:r>
      <w:r>
        <w:t>9</w:t>
      </w:r>
      <w:r>
        <w:fldChar w:fldCharType="end"/>
      </w:r>
      <w:r>
        <w:rPr>
          <w:rFonts w:hint="eastAsia"/>
        </w:rPr>
        <w:fldChar w:fldCharType="end"/>
      </w:r>
    </w:p>
    <w:p>
      <w:pPr>
        <w:pStyle w:val="7"/>
        <w:tabs>
          <w:tab w:val="right" w:leader="dot" w:pos="9355"/>
          <w:tab w:val="clear" w:pos="9242"/>
        </w:tabs>
      </w:pPr>
      <w:r>
        <w:rPr>
          <w:rFonts w:hint="eastAsia"/>
        </w:rPr>
        <w:fldChar w:fldCharType="begin"/>
      </w:r>
      <w:r>
        <w:rPr>
          <w:rFonts w:hint="eastAsia"/>
        </w:rPr>
        <w:instrText xml:space="preserve"> HYPERLINK \l _Toc22182 </w:instrText>
      </w:r>
      <w:r>
        <w:rPr>
          <w:rFonts w:hint="eastAsia"/>
        </w:rPr>
        <w:fldChar w:fldCharType="separate"/>
      </w:r>
      <w:r>
        <w:rPr>
          <w:rFonts w:hint="eastAsia" w:ascii="黑体" w:hAnsi="Times New Roman" w:eastAsia="黑体"/>
          <w:i w:val="0"/>
          <w:szCs w:val="21"/>
          <w:lang w:val="en-US" w:eastAsia="zh-CN"/>
        </w:rPr>
        <w:t>7</w:t>
      </w:r>
      <w:r>
        <w:rPr>
          <w:rFonts w:hint="eastAsia" w:ascii="黑体" w:eastAsia="黑体"/>
          <w:i w:val="0"/>
          <w:szCs w:val="21"/>
          <w:lang w:val="en-US" w:eastAsia="zh-CN"/>
        </w:rPr>
        <w:t>　</w:t>
      </w:r>
      <w:r>
        <w:rPr>
          <w:rFonts w:hint="eastAsia"/>
          <w:szCs w:val="22"/>
          <w:lang w:val="en-US" w:eastAsia="zh-CN"/>
        </w:rPr>
        <w:t>应用平台关键功能参考</w:t>
      </w:r>
      <w:r>
        <w:tab/>
      </w:r>
      <w:r>
        <w:fldChar w:fldCharType="begin"/>
      </w:r>
      <w:r>
        <w:instrText xml:space="preserve"> PAGEREF _Toc22182 \h </w:instrText>
      </w:r>
      <w:r>
        <w:fldChar w:fldCharType="separate"/>
      </w:r>
      <w:r>
        <w:t>10</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_Toc18720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7.1</w:t>
      </w:r>
      <w:r>
        <w:rPr>
          <w:rFonts w:hint="eastAsia" w:ascii="黑体" w:eastAsia="黑体" w:cs="Times New Roman"/>
          <w:bCs w:val="0"/>
          <w:i w:val="0"/>
          <w:iCs w:val="0"/>
          <w:caps w:val="0"/>
          <w:strike w:val="0"/>
          <w:dstrike w:val="0"/>
          <w:vanish w:val="0"/>
          <w:spacing w:val="0"/>
          <w:kern w:val="0"/>
          <w:position w:val="0"/>
          <w:szCs w:val="21"/>
          <w:vertAlign w:val="baseline"/>
          <w:lang w:val="en-US" w:eastAsia="zh-CN"/>
        </w:rPr>
        <w:t>　</w:t>
      </w:r>
      <w:r>
        <w:rPr>
          <w:rFonts w:hint="eastAsia"/>
          <w:szCs w:val="24"/>
        </w:rPr>
        <w:t>准入停车场（库）服务商登记管理</w:t>
      </w:r>
      <w:r>
        <w:tab/>
      </w:r>
      <w:r>
        <w:fldChar w:fldCharType="begin"/>
      </w:r>
      <w:r>
        <w:instrText xml:space="preserve"> PAGEREF _Toc18720 \h </w:instrText>
      </w:r>
      <w:r>
        <w:fldChar w:fldCharType="separate"/>
      </w:r>
      <w:r>
        <w:t>10</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_Toc20634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7.2</w:t>
      </w:r>
      <w:r>
        <w:rPr>
          <w:rFonts w:hint="eastAsia" w:ascii="黑体" w:eastAsia="黑体" w:cs="Times New Roman"/>
          <w:bCs w:val="0"/>
          <w:i w:val="0"/>
          <w:iCs w:val="0"/>
          <w:caps w:val="0"/>
          <w:strike w:val="0"/>
          <w:dstrike w:val="0"/>
          <w:vanish w:val="0"/>
          <w:spacing w:val="0"/>
          <w:kern w:val="0"/>
          <w:position w:val="0"/>
          <w:szCs w:val="21"/>
          <w:vertAlign w:val="baseline"/>
          <w:lang w:eastAsia="zh-CN"/>
        </w:rPr>
        <w:t>　</w:t>
      </w:r>
      <w:r>
        <w:rPr>
          <w:rFonts w:hint="eastAsia"/>
          <w:szCs w:val="24"/>
        </w:rPr>
        <w:t>准入停车场（库）信息系统接入管理</w:t>
      </w:r>
      <w:r>
        <w:tab/>
      </w:r>
      <w:r>
        <w:fldChar w:fldCharType="begin"/>
      </w:r>
      <w:r>
        <w:instrText xml:space="preserve"> PAGEREF _Toc20634 \h </w:instrText>
      </w:r>
      <w:r>
        <w:fldChar w:fldCharType="separate"/>
      </w:r>
      <w:r>
        <w:t>13</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_Toc30438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7.3</w:t>
      </w:r>
      <w:r>
        <w:rPr>
          <w:rFonts w:hint="eastAsia" w:ascii="黑体" w:eastAsia="黑体" w:cs="Times New Roman"/>
          <w:bCs w:val="0"/>
          <w:i w:val="0"/>
          <w:iCs w:val="0"/>
          <w:caps w:val="0"/>
          <w:strike w:val="0"/>
          <w:dstrike w:val="0"/>
          <w:vanish w:val="0"/>
          <w:spacing w:val="0"/>
          <w:kern w:val="0"/>
          <w:position w:val="0"/>
          <w:szCs w:val="21"/>
          <w:vertAlign w:val="baseline"/>
          <w:lang w:eastAsia="zh-CN"/>
        </w:rPr>
        <w:t>　</w:t>
      </w:r>
      <w:r>
        <w:rPr>
          <w:rFonts w:hint="eastAsia"/>
          <w:szCs w:val="24"/>
        </w:rPr>
        <w:t>准入停车场（库）ETC交易信息管理</w:t>
      </w:r>
      <w:r>
        <w:tab/>
      </w:r>
      <w:r>
        <w:fldChar w:fldCharType="begin"/>
      </w:r>
      <w:r>
        <w:instrText xml:space="preserve"> PAGEREF _Toc30438 \h </w:instrText>
      </w:r>
      <w:r>
        <w:fldChar w:fldCharType="separate"/>
      </w:r>
      <w:r>
        <w:t>15</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_Toc390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7.4</w:t>
      </w:r>
      <w:r>
        <w:rPr>
          <w:rFonts w:hint="eastAsia" w:ascii="黑体" w:eastAsia="黑体" w:cs="Times New Roman"/>
          <w:bCs w:val="0"/>
          <w:i w:val="0"/>
          <w:iCs w:val="0"/>
          <w:caps w:val="0"/>
          <w:strike w:val="0"/>
          <w:dstrike w:val="0"/>
          <w:vanish w:val="0"/>
          <w:spacing w:val="0"/>
          <w:kern w:val="0"/>
          <w:position w:val="0"/>
          <w:szCs w:val="21"/>
          <w:vertAlign w:val="baseline"/>
          <w:lang w:eastAsia="zh-CN"/>
        </w:rPr>
        <w:t>　</w:t>
      </w:r>
      <w:r>
        <w:rPr>
          <w:rFonts w:hint="eastAsia"/>
          <w:szCs w:val="24"/>
        </w:rPr>
        <w:t>准入停车场（库）运营动态信息监控</w:t>
      </w:r>
      <w:r>
        <w:tab/>
      </w:r>
      <w:r>
        <w:fldChar w:fldCharType="begin"/>
      </w:r>
      <w:r>
        <w:instrText xml:space="preserve"> PAGEREF _Toc390 \h </w:instrText>
      </w:r>
      <w:r>
        <w:fldChar w:fldCharType="separate"/>
      </w:r>
      <w:r>
        <w:t>16</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_Toc3593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7.5</w:t>
      </w:r>
      <w:r>
        <w:rPr>
          <w:rFonts w:hint="eastAsia" w:ascii="黑体" w:eastAsia="黑体" w:cs="Times New Roman"/>
          <w:bCs w:val="0"/>
          <w:i w:val="0"/>
          <w:iCs w:val="0"/>
          <w:caps w:val="0"/>
          <w:strike w:val="0"/>
          <w:dstrike w:val="0"/>
          <w:vanish w:val="0"/>
          <w:spacing w:val="0"/>
          <w:kern w:val="0"/>
          <w:position w:val="0"/>
          <w:szCs w:val="21"/>
          <w:vertAlign w:val="baseline"/>
          <w:lang w:eastAsia="zh-CN"/>
        </w:rPr>
        <w:t>　</w:t>
      </w:r>
      <w:r>
        <w:rPr>
          <w:rFonts w:hint="eastAsia"/>
          <w:szCs w:val="24"/>
        </w:rPr>
        <w:t>准入停车场（库）信息发布与共享</w:t>
      </w:r>
      <w:r>
        <w:tab/>
      </w:r>
      <w:r>
        <w:fldChar w:fldCharType="begin"/>
      </w:r>
      <w:r>
        <w:instrText xml:space="preserve"> PAGEREF _Toc3593 \h </w:instrText>
      </w:r>
      <w:r>
        <w:fldChar w:fldCharType="separate"/>
      </w:r>
      <w:r>
        <w:t>18</w:t>
      </w:r>
      <w:r>
        <w:fldChar w:fldCharType="end"/>
      </w:r>
      <w:r>
        <w:rPr>
          <w:rFonts w:hint="eastAsia"/>
        </w:rPr>
        <w:fldChar w:fldCharType="end"/>
      </w:r>
    </w:p>
    <w:p>
      <w:pPr>
        <w:pStyle w:val="7"/>
        <w:tabs>
          <w:tab w:val="right" w:leader="dot" w:pos="9355"/>
          <w:tab w:val="clear" w:pos="9242"/>
        </w:tabs>
      </w:pPr>
      <w:r>
        <w:rPr>
          <w:rFonts w:hint="eastAsia"/>
        </w:rPr>
        <w:fldChar w:fldCharType="begin"/>
      </w:r>
      <w:r>
        <w:rPr>
          <w:rFonts w:hint="eastAsia"/>
        </w:rPr>
        <w:instrText xml:space="preserve"> HYPERLINK \l _Toc13448 </w:instrText>
      </w:r>
      <w:r>
        <w:rPr>
          <w:rFonts w:hint="eastAsia"/>
        </w:rPr>
        <w:fldChar w:fldCharType="separate"/>
      </w:r>
      <w:r>
        <w:rPr>
          <w:rFonts w:hint="eastAsia" w:ascii="黑体" w:hAnsi="Times New Roman" w:eastAsia="黑体"/>
          <w:i w:val="0"/>
          <w:szCs w:val="21"/>
          <w:lang w:val="en-US" w:eastAsia="zh-CN"/>
        </w:rPr>
        <w:t>8</w:t>
      </w:r>
      <w:r>
        <w:rPr>
          <w:rFonts w:hint="eastAsia" w:ascii="黑体" w:eastAsia="黑体"/>
          <w:i w:val="0"/>
          <w:szCs w:val="21"/>
          <w:lang w:val="en-US" w:eastAsia="zh-CN"/>
        </w:rPr>
        <w:t>　</w:t>
      </w:r>
      <w:r>
        <w:rPr>
          <w:rFonts w:hint="eastAsia"/>
          <w:szCs w:val="22"/>
          <w:lang w:val="en-US" w:eastAsia="zh-CN"/>
        </w:rPr>
        <w:t>技术路线要求</w:t>
      </w:r>
      <w:r>
        <w:tab/>
      </w:r>
      <w:r>
        <w:fldChar w:fldCharType="begin"/>
      </w:r>
      <w:r>
        <w:instrText xml:space="preserve"> PAGEREF _Toc13448 \h </w:instrText>
      </w:r>
      <w:r>
        <w:fldChar w:fldCharType="separate"/>
      </w:r>
      <w:r>
        <w:t>21</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_Toc10595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8.1</w:t>
      </w:r>
      <w:r>
        <w:rPr>
          <w:rFonts w:hint="eastAsia" w:ascii="黑体" w:eastAsia="黑体" w:cs="Times New Roman"/>
          <w:bCs w:val="0"/>
          <w:i w:val="0"/>
          <w:iCs w:val="0"/>
          <w:caps w:val="0"/>
          <w:strike w:val="0"/>
          <w:dstrike w:val="0"/>
          <w:vanish w:val="0"/>
          <w:spacing w:val="0"/>
          <w:kern w:val="0"/>
          <w:position w:val="0"/>
          <w:szCs w:val="21"/>
          <w:vertAlign w:val="baseline"/>
          <w:lang w:val="en-US" w:eastAsia="zh-CN"/>
        </w:rPr>
        <w:t>　</w:t>
      </w:r>
      <w:r>
        <w:rPr>
          <w:rFonts w:hint="eastAsia"/>
          <w:szCs w:val="24"/>
        </w:rPr>
        <w:t>云计算技术应用</w:t>
      </w:r>
      <w:r>
        <w:tab/>
      </w:r>
      <w:r>
        <w:fldChar w:fldCharType="begin"/>
      </w:r>
      <w:r>
        <w:instrText xml:space="preserve"> PAGEREF _Toc10595 \h </w:instrText>
      </w:r>
      <w:r>
        <w:fldChar w:fldCharType="separate"/>
      </w:r>
      <w:r>
        <w:t>21</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_Toc27772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8.2</w:t>
      </w:r>
      <w:r>
        <w:rPr>
          <w:rFonts w:hint="eastAsia" w:ascii="黑体" w:eastAsia="黑体" w:cs="Times New Roman"/>
          <w:bCs w:val="0"/>
          <w:i w:val="0"/>
          <w:iCs w:val="0"/>
          <w:caps w:val="0"/>
          <w:strike w:val="0"/>
          <w:dstrike w:val="0"/>
          <w:vanish w:val="0"/>
          <w:spacing w:val="0"/>
          <w:kern w:val="0"/>
          <w:position w:val="0"/>
          <w:szCs w:val="21"/>
          <w:vertAlign w:val="baseline"/>
          <w:lang w:eastAsia="zh-CN"/>
        </w:rPr>
        <w:t>　</w:t>
      </w:r>
      <w:r>
        <w:rPr>
          <w:rFonts w:hint="eastAsia"/>
          <w:szCs w:val="24"/>
        </w:rPr>
        <w:t>大数据技术应用</w:t>
      </w:r>
      <w:r>
        <w:tab/>
      </w:r>
      <w:r>
        <w:fldChar w:fldCharType="begin"/>
      </w:r>
      <w:r>
        <w:instrText xml:space="preserve"> PAGEREF _Toc27772 \h </w:instrText>
      </w:r>
      <w:r>
        <w:fldChar w:fldCharType="separate"/>
      </w:r>
      <w:r>
        <w:t>22</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_Toc28193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8.3</w:t>
      </w:r>
      <w:r>
        <w:rPr>
          <w:rFonts w:hint="eastAsia" w:ascii="黑体" w:eastAsia="黑体" w:cs="Times New Roman"/>
          <w:bCs w:val="0"/>
          <w:i w:val="0"/>
          <w:iCs w:val="0"/>
          <w:caps w:val="0"/>
          <w:strike w:val="0"/>
          <w:dstrike w:val="0"/>
          <w:vanish w:val="0"/>
          <w:spacing w:val="0"/>
          <w:kern w:val="0"/>
          <w:position w:val="0"/>
          <w:szCs w:val="21"/>
          <w:vertAlign w:val="baseline"/>
          <w:lang w:eastAsia="zh-CN"/>
        </w:rPr>
        <w:t>　</w:t>
      </w:r>
      <w:r>
        <w:rPr>
          <w:rFonts w:hint="eastAsia"/>
          <w:szCs w:val="24"/>
        </w:rPr>
        <w:t>可视化技术应用</w:t>
      </w:r>
      <w:r>
        <w:tab/>
      </w:r>
      <w:r>
        <w:fldChar w:fldCharType="begin"/>
      </w:r>
      <w:r>
        <w:instrText xml:space="preserve"> PAGEREF _Toc28193 \h </w:instrText>
      </w:r>
      <w:r>
        <w:fldChar w:fldCharType="separate"/>
      </w:r>
      <w:r>
        <w:t>23</w:t>
      </w:r>
      <w:r>
        <w:fldChar w:fldCharType="end"/>
      </w:r>
      <w:r>
        <w:rPr>
          <w:rFonts w:hint="eastAsia"/>
        </w:rPr>
        <w:fldChar w:fldCharType="end"/>
      </w:r>
    </w:p>
    <w:p>
      <w:pPr>
        <w:pStyle w:val="7"/>
        <w:tabs>
          <w:tab w:val="right" w:leader="dot" w:pos="9355"/>
          <w:tab w:val="clear" w:pos="9242"/>
        </w:tabs>
      </w:pPr>
      <w:r>
        <w:rPr>
          <w:rFonts w:hint="eastAsia"/>
        </w:rPr>
        <w:fldChar w:fldCharType="begin"/>
      </w:r>
      <w:r>
        <w:rPr>
          <w:rFonts w:hint="eastAsia"/>
        </w:rPr>
        <w:instrText xml:space="preserve"> HYPERLINK \l _Toc14487 </w:instrText>
      </w:r>
      <w:r>
        <w:rPr>
          <w:rFonts w:hint="eastAsia"/>
        </w:rPr>
        <w:fldChar w:fldCharType="separate"/>
      </w:r>
      <w:r>
        <w:rPr>
          <w:rFonts w:hint="eastAsia" w:ascii="黑体" w:hAnsi="Times New Roman" w:eastAsia="黑体"/>
          <w:i w:val="0"/>
          <w:szCs w:val="21"/>
        </w:rPr>
        <w:t>9</w:t>
      </w:r>
      <w:r>
        <w:rPr>
          <w:rFonts w:hint="eastAsia" w:ascii="黑体" w:eastAsia="黑体"/>
          <w:i w:val="0"/>
          <w:szCs w:val="21"/>
          <w:lang w:eastAsia="zh-CN"/>
        </w:rPr>
        <w:t>　</w:t>
      </w:r>
      <w:r>
        <w:rPr>
          <w:rFonts w:hint="eastAsia"/>
          <w:szCs w:val="24"/>
        </w:rPr>
        <w:t>基础条件要求</w:t>
      </w:r>
      <w:r>
        <w:tab/>
      </w:r>
      <w:r>
        <w:fldChar w:fldCharType="begin"/>
      </w:r>
      <w:r>
        <w:instrText xml:space="preserve"> PAGEREF _Toc14487 \h </w:instrText>
      </w:r>
      <w:r>
        <w:fldChar w:fldCharType="separate"/>
      </w:r>
      <w:r>
        <w:t>24</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_Toc6773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9.1</w:t>
      </w:r>
      <w:r>
        <w:rPr>
          <w:rFonts w:hint="eastAsia" w:ascii="黑体" w:eastAsia="黑体" w:cs="Times New Roman"/>
          <w:bCs w:val="0"/>
          <w:i w:val="0"/>
          <w:iCs w:val="0"/>
          <w:caps w:val="0"/>
          <w:strike w:val="0"/>
          <w:dstrike w:val="0"/>
          <w:vanish w:val="0"/>
          <w:spacing w:val="0"/>
          <w:kern w:val="0"/>
          <w:position w:val="0"/>
          <w:szCs w:val="21"/>
          <w:vertAlign w:val="baseline"/>
          <w:lang w:val="en-US" w:eastAsia="zh-CN"/>
        </w:rPr>
        <w:t>　</w:t>
      </w:r>
      <w:r>
        <w:rPr>
          <w:rFonts w:hint="eastAsia"/>
          <w:szCs w:val="24"/>
        </w:rPr>
        <w:t>云技术应用</w:t>
      </w:r>
      <w:r>
        <w:tab/>
      </w:r>
      <w:r>
        <w:fldChar w:fldCharType="begin"/>
      </w:r>
      <w:r>
        <w:instrText xml:space="preserve"> PAGEREF _Toc6773 \h </w:instrText>
      </w:r>
      <w:r>
        <w:fldChar w:fldCharType="separate"/>
      </w:r>
      <w:r>
        <w:t>24</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_Toc25288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9.2</w:t>
      </w:r>
      <w:r>
        <w:rPr>
          <w:rFonts w:hint="eastAsia" w:ascii="黑体" w:eastAsia="黑体" w:cs="Times New Roman"/>
          <w:bCs w:val="0"/>
          <w:i w:val="0"/>
          <w:iCs w:val="0"/>
          <w:caps w:val="0"/>
          <w:strike w:val="0"/>
          <w:dstrike w:val="0"/>
          <w:vanish w:val="0"/>
          <w:spacing w:val="0"/>
          <w:kern w:val="0"/>
          <w:position w:val="0"/>
          <w:szCs w:val="21"/>
          <w:vertAlign w:val="baseline"/>
          <w:lang w:eastAsia="zh-CN"/>
        </w:rPr>
        <w:t>　</w:t>
      </w:r>
      <w:r>
        <w:rPr>
          <w:rFonts w:hint="eastAsia"/>
          <w:szCs w:val="24"/>
        </w:rPr>
        <w:t>接口规范管理</w:t>
      </w:r>
      <w:r>
        <w:tab/>
      </w:r>
      <w:r>
        <w:fldChar w:fldCharType="begin"/>
      </w:r>
      <w:r>
        <w:instrText xml:space="preserve"> PAGEREF _Toc25288 \h </w:instrText>
      </w:r>
      <w:r>
        <w:fldChar w:fldCharType="separate"/>
      </w:r>
      <w:r>
        <w:t>24</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_Toc27381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9.3</w:t>
      </w:r>
      <w:r>
        <w:rPr>
          <w:rFonts w:hint="eastAsia" w:ascii="黑体" w:eastAsia="黑体" w:cs="Times New Roman"/>
          <w:bCs w:val="0"/>
          <w:i w:val="0"/>
          <w:iCs w:val="0"/>
          <w:caps w:val="0"/>
          <w:strike w:val="0"/>
          <w:dstrike w:val="0"/>
          <w:vanish w:val="0"/>
          <w:spacing w:val="0"/>
          <w:kern w:val="0"/>
          <w:position w:val="0"/>
          <w:szCs w:val="21"/>
          <w:vertAlign w:val="baseline"/>
          <w:lang w:eastAsia="zh-CN"/>
        </w:rPr>
        <w:t>　</w:t>
      </w:r>
      <w:r>
        <w:rPr>
          <w:rFonts w:hint="eastAsia"/>
          <w:szCs w:val="24"/>
        </w:rPr>
        <w:t>系统安全保障</w:t>
      </w:r>
      <w:r>
        <w:tab/>
      </w:r>
      <w:r>
        <w:fldChar w:fldCharType="begin"/>
      </w:r>
      <w:r>
        <w:instrText xml:space="preserve"> PAGEREF _Toc27381 \h </w:instrText>
      </w:r>
      <w:r>
        <w:fldChar w:fldCharType="separate"/>
      </w:r>
      <w:r>
        <w:t>24</w:t>
      </w:r>
      <w:r>
        <w:fldChar w:fldCharType="end"/>
      </w:r>
      <w:r>
        <w:rPr>
          <w:rFonts w:hint="eastAsia"/>
        </w:rPr>
        <w:fldChar w:fldCharType="end"/>
      </w:r>
    </w:p>
    <w:p>
      <w:pPr>
        <w:pStyle w:val="7"/>
        <w:tabs>
          <w:tab w:val="right" w:leader="dot" w:pos="9355"/>
          <w:tab w:val="clear" w:pos="9242"/>
        </w:tabs>
      </w:pPr>
      <w:r>
        <w:rPr>
          <w:rFonts w:hint="eastAsia"/>
        </w:rPr>
        <w:fldChar w:fldCharType="begin"/>
      </w:r>
      <w:r>
        <w:rPr>
          <w:rFonts w:hint="eastAsia"/>
        </w:rPr>
        <w:instrText xml:space="preserve"> HYPERLINK \l _Toc28205 </w:instrText>
      </w:r>
      <w:r>
        <w:rPr>
          <w:rFonts w:hint="eastAsia"/>
        </w:rPr>
        <w:fldChar w:fldCharType="separate"/>
      </w:r>
      <w:r>
        <w:rPr>
          <w:rFonts w:hint="eastAsia" w:ascii="黑体" w:hAnsi="Times New Roman" w:eastAsia="黑体"/>
          <w:i w:val="0"/>
          <w:szCs w:val="21"/>
        </w:rPr>
        <w:t>10</w:t>
      </w:r>
      <w:r>
        <w:rPr>
          <w:rFonts w:hint="eastAsia" w:ascii="黑体" w:eastAsia="黑体"/>
          <w:i w:val="0"/>
          <w:szCs w:val="21"/>
          <w:lang w:eastAsia="zh-CN"/>
        </w:rPr>
        <w:t>　</w:t>
      </w:r>
      <w:r>
        <w:rPr>
          <w:rFonts w:hint="eastAsia"/>
          <w:szCs w:val="24"/>
        </w:rPr>
        <w:t>系统保障要求</w:t>
      </w:r>
      <w:r>
        <w:tab/>
      </w:r>
      <w:r>
        <w:fldChar w:fldCharType="begin"/>
      </w:r>
      <w:r>
        <w:instrText xml:space="preserve"> PAGEREF _Toc28205 \h </w:instrText>
      </w:r>
      <w:r>
        <w:fldChar w:fldCharType="separate"/>
      </w:r>
      <w:r>
        <w:t>24</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_Toc5052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10.1</w:t>
      </w:r>
      <w:r>
        <w:rPr>
          <w:rFonts w:hint="eastAsia" w:ascii="黑体" w:eastAsia="黑体" w:cs="Times New Roman"/>
          <w:bCs w:val="0"/>
          <w:i w:val="0"/>
          <w:iCs w:val="0"/>
          <w:caps w:val="0"/>
          <w:strike w:val="0"/>
          <w:dstrike w:val="0"/>
          <w:vanish w:val="0"/>
          <w:spacing w:val="0"/>
          <w:kern w:val="0"/>
          <w:position w:val="0"/>
          <w:szCs w:val="21"/>
          <w:vertAlign w:val="baseline"/>
          <w:lang w:val="en-US" w:eastAsia="zh-CN"/>
        </w:rPr>
        <w:t>　</w:t>
      </w:r>
      <w:r>
        <w:rPr>
          <w:rFonts w:hint="eastAsia"/>
          <w:szCs w:val="24"/>
        </w:rPr>
        <w:t>系统安全性</w:t>
      </w:r>
      <w:r>
        <w:tab/>
      </w:r>
      <w:r>
        <w:fldChar w:fldCharType="begin"/>
      </w:r>
      <w:r>
        <w:instrText xml:space="preserve"> PAGEREF _Toc5052 \h </w:instrText>
      </w:r>
      <w:r>
        <w:fldChar w:fldCharType="separate"/>
      </w:r>
      <w:r>
        <w:t>24</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_Toc19994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10.2</w:t>
      </w:r>
      <w:r>
        <w:rPr>
          <w:rFonts w:hint="eastAsia" w:ascii="黑体" w:eastAsia="黑体" w:cs="Times New Roman"/>
          <w:bCs w:val="0"/>
          <w:i w:val="0"/>
          <w:iCs w:val="0"/>
          <w:caps w:val="0"/>
          <w:strike w:val="0"/>
          <w:dstrike w:val="0"/>
          <w:vanish w:val="0"/>
          <w:spacing w:val="0"/>
          <w:kern w:val="0"/>
          <w:position w:val="0"/>
          <w:szCs w:val="21"/>
          <w:vertAlign w:val="baseline"/>
          <w:lang w:eastAsia="zh-CN"/>
        </w:rPr>
        <w:t>　</w:t>
      </w:r>
      <w:r>
        <w:rPr>
          <w:rFonts w:hint="eastAsia"/>
          <w:szCs w:val="24"/>
        </w:rPr>
        <w:t>系统可靠性</w:t>
      </w:r>
      <w:r>
        <w:tab/>
      </w:r>
      <w:r>
        <w:fldChar w:fldCharType="begin"/>
      </w:r>
      <w:r>
        <w:instrText xml:space="preserve"> PAGEREF _Toc19994 \h </w:instrText>
      </w:r>
      <w:r>
        <w:fldChar w:fldCharType="separate"/>
      </w:r>
      <w:r>
        <w:t>25</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_Toc13258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10.3</w:t>
      </w:r>
      <w:r>
        <w:rPr>
          <w:rFonts w:hint="eastAsia" w:ascii="黑体" w:eastAsia="黑体" w:cs="Times New Roman"/>
          <w:bCs w:val="0"/>
          <w:i w:val="0"/>
          <w:iCs w:val="0"/>
          <w:caps w:val="0"/>
          <w:strike w:val="0"/>
          <w:dstrike w:val="0"/>
          <w:vanish w:val="0"/>
          <w:spacing w:val="0"/>
          <w:kern w:val="0"/>
          <w:position w:val="0"/>
          <w:szCs w:val="21"/>
          <w:vertAlign w:val="baseline"/>
          <w:lang w:eastAsia="zh-CN"/>
        </w:rPr>
        <w:t>　</w:t>
      </w:r>
      <w:r>
        <w:rPr>
          <w:rFonts w:hint="eastAsia"/>
          <w:szCs w:val="24"/>
        </w:rPr>
        <w:t>系统容灾性</w:t>
      </w:r>
      <w:r>
        <w:tab/>
      </w:r>
      <w:r>
        <w:fldChar w:fldCharType="begin"/>
      </w:r>
      <w:r>
        <w:instrText xml:space="preserve"> PAGEREF _Toc13258 \h </w:instrText>
      </w:r>
      <w:r>
        <w:fldChar w:fldCharType="separate"/>
      </w:r>
      <w:r>
        <w:t>25</w:t>
      </w:r>
      <w:r>
        <w:fldChar w:fldCharType="end"/>
      </w:r>
      <w:r>
        <w:rPr>
          <w:rFonts w:hint="eastAsia"/>
        </w:rPr>
        <w:fldChar w:fldCharType="end"/>
      </w:r>
    </w:p>
    <w:p>
      <w:pPr>
        <w:pStyle w:val="3"/>
        <w:tabs>
          <w:tab w:val="right" w:leader="dot" w:pos="9355"/>
          <w:tab w:val="clear" w:pos="9241"/>
        </w:tabs>
      </w:pPr>
      <w:r>
        <w:rPr>
          <w:rFonts w:hint="eastAsia"/>
        </w:rPr>
        <w:fldChar w:fldCharType="begin"/>
      </w:r>
      <w:r>
        <w:rPr>
          <w:rFonts w:hint="eastAsia"/>
        </w:rPr>
        <w:instrText xml:space="preserve"> HYPERLINK \l _Toc17039 </w:instrText>
      </w:r>
      <w:r>
        <w:rPr>
          <w:rFonts w:hint="eastAsia"/>
        </w:rPr>
        <w:fldChar w:fldCharType="separate"/>
      </w:r>
      <w:r>
        <w:rPr>
          <w:rFonts w:hint="eastAsia" w:ascii="黑体" w:hAnsi="Times New Roman" w:eastAsia="黑体" w:cs="Times New Roman"/>
          <w:bCs w:val="0"/>
          <w:i w:val="0"/>
          <w:iCs w:val="0"/>
          <w:caps w:val="0"/>
          <w:strike w:val="0"/>
          <w:dstrike w:val="0"/>
          <w:vanish w:val="0"/>
          <w:spacing w:val="0"/>
          <w:kern w:val="0"/>
          <w:position w:val="0"/>
          <w:szCs w:val="21"/>
          <w:vertAlign w:val="baseline"/>
        </w:rPr>
        <w:t>10.4</w:t>
      </w:r>
      <w:r>
        <w:rPr>
          <w:rFonts w:hint="eastAsia" w:ascii="黑体" w:eastAsia="黑体" w:cs="Times New Roman"/>
          <w:bCs w:val="0"/>
          <w:i w:val="0"/>
          <w:iCs w:val="0"/>
          <w:caps w:val="0"/>
          <w:strike w:val="0"/>
          <w:dstrike w:val="0"/>
          <w:vanish w:val="0"/>
          <w:spacing w:val="0"/>
          <w:kern w:val="0"/>
          <w:position w:val="0"/>
          <w:szCs w:val="21"/>
          <w:vertAlign w:val="baseline"/>
          <w:lang w:eastAsia="zh-CN"/>
        </w:rPr>
        <w:t>　</w:t>
      </w:r>
      <w:r>
        <w:rPr>
          <w:rFonts w:hint="eastAsia"/>
          <w:szCs w:val="24"/>
        </w:rPr>
        <w:t>系统扩展性</w:t>
      </w:r>
      <w:r>
        <w:tab/>
      </w:r>
      <w:r>
        <w:fldChar w:fldCharType="begin"/>
      </w:r>
      <w:r>
        <w:instrText xml:space="preserve"> PAGEREF _Toc17039 \h </w:instrText>
      </w:r>
      <w:r>
        <w:fldChar w:fldCharType="separate"/>
      </w:r>
      <w:r>
        <w:t>26</w:t>
      </w:r>
      <w:r>
        <w:fldChar w:fldCharType="end"/>
      </w:r>
      <w:r>
        <w:rPr>
          <w:rFonts w:hint="eastAsia"/>
        </w:rPr>
        <w:fldChar w:fldCharType="end"/>
      </w:r>
    </w:p>
    <w:p>
      <w:pPr>
        <w:pStyle w:val="30"/>
        <w:rPr>
          <w:rFonts w:hint="eastAsia"/>
        </w:rPr>
      </w:pPr>
      <w:r>
        <w:rPr>
          <w:rFonts w:hint="eastAsia"/>
        </w:rPr>
        <w:fldChar w:fldCharType="end"/>
      </w:r>
    </w:p>
    <w:p>
      <w:pPr>
        <w:pStyle w:val="31"/>
        <w:rPr>
          <w:rFonts w:hint="eastAsia"/>
        </w:rPr>
        <w:sectPr>
          <w:headerReference r:id="rId5" w:type="default"/>
          <w:footerReference r:id="rId6" w:type="default"/>
          <w:footerReference r:id="rId7" w:type="even"/>
          <w:pgSz w:w="11906" w:h="16838"/>
          <w:pgMar w:top="1417" w:right="1134" w:bottom="1134" w:left="1417" w:header="1418" w:footer="1134" w:gutter="0"/>
          <w:pgNumType w:fmt="upperRoman" w:start="1"/>
          <w:cols w:space="720" w:num="1"/>
          <w:formProt w:val="0"/>
          <w:docGrid w:type="lines" w:linePitch="312" w:charSpace="0"/>
        </w:sectPr>
      </w:pPr>
    </w:p>
    <w:p>
      <w:pPr>
        <w:pStyle w:val="31"/>
        <w:spacing w:line="360" w:lineRule="auto"/>
      </w:pPr>
      <w:bookmarkStart w:id="2" w:name="_Toc24066"/>
      <w:bookmarkStart w:id="3" w:name="_Toc18819"/>
      <w:bookmarkStart w:id="4" w:name="_Toc1316"/>
      <w:bookmarkStart w:id="5" w:name="_Toc17442"/>
      <w:r>
        <w:rPr>
          <w:rFonts w:hint="eastAsia"/>
        </w:rPr>
        <w:t>前</w:t>
      </w:r>
      <w:bookmarkStart w:id="6" w:name="BKQY"/>
      <w:r>
        <w:t>  </w:t>
      </w:r>
      <w:r>
        <w:rPr>
          <w:rFonts w:hint="eastAsia"/>
        </w:rPr>
        <w:t>言</w:t>
      </w:r>
      <w:bookmarkEnd w:id="2"/>
      <w:bookmarkEnd w:id="3"/>
      <w:bookmarkEnd w:id="4"/>
      <w:bookmarkEnd w:id="5"/>
      <w:bookmarkEnd w:id="6"/>
    </w:p>
    <w:p>
      <w:pPr>
        <w:pStyle w:val="30"/>
        <w:spacing w:line="360" w:lineRule="auto"/>
        <w:rPr>
          <w:rFonts w:hAnsi="宋体"/>
        </w:rPr>
      </w:pPr>
      <w:r>
        <w:rPr>
          <w:rFonts w:hint="eastAsia" w:hAnsi="宋体"/>
        </w:rPr>
        <w:t>本文件按照GB/T1.1-2020</w:t>
      </w:r>
      <w:r>
        <w:rPr>
          <w:rFonts w:hint="eastAsia" w:hAnsi="宋体"/>
          <w:lang w:eastAsia="zh-CN"/>
        </w:rPr>
        <w:t>　</w:t>
      </w:r>
      <w:r>
        <w:rPr>
          <w:rFonts w:hint="eastAsia" w:hAnsi="宋体"/>
        </w:rPr>
        <w:t>《标准化工作导则第1部分：标准化文件的结构和起草规则》的规</w:t>
      </w:r>
      <w:r>
        <w:rPr>
          <w:rFonts w:hint="default" w:hAnsi="宋体"/>
          <w:lang w:val="en-US"/>
        </w:rPr>
        <w:t>定</w:t>
      </w:r>
      <w:r>
        <w:rPr>
          <w:rFonts w:hint="eastAsia" w:hAnsi="宋体"/>
        </w:rPr>
        <w:t>起草。</w:t>
      </w:r>
    </w:p>
    <w:p>
      <w:pPr>
        <w:pStyle w:val="30"/>
        <w:spacing w:line="360" w:lineRule="auto"/>
        <w:rPr>
          <w:rFonts w:hAnsi="宋体"/>
        </w:rPr>
      </w:pPr>
      <w:r>
        <w:rPr>
          <w:rFonts w:hint="eastAsia" w:hAnsi="宋体"/>
        </w:rPr>
        <w:t>本文件</w:t>
      </w:r>
      <w:r>
        <w:rPr>
          <w:rFonts w:hAnsi="宋体"/>
        </w:rPr>
        <w:t>由</w:t>
      </w:r>
      <w:r>
        <w:rPr>
          <w:rFonts w:hint="eastAsia" w:hAnsi="宋体"/>
          <w:lang w:val="en-US" w:eastAsia="zh-CN"/>
        </w:rPr>
        <w:t>辽宁省工业和信息化厅</w:t>
      </w:r>
      <w:r>
        <w:rPr>
          <w:rFonts w:hAnsi="宋体"/>
        </w:rPr>
        <w:t>提出。</w:t>
      </w:r>
    </w:p>
    <w:p>
      <w:pPr>
        <w:pStyle w:val="30"/>
        <w:spacing w:line="360" w:lineRule="auto"/>
        <w:rPr>
          <w:rFonts w:hAnsi="宋体"/>
        </w:rPr>
      </w:pPr>
      <w:r>
        <w:rPr>
          <w:rFonts w:hint="eastAsia" w:hAnsi="宋体"/>
        </w:rPr>
        <w:t>本文件</w:t>
      </w:r>
      <w:r>
        <w:rPr>
          <w:rFonts w:hAnsi="宋体"/>
        </w:rPr>
        <w:t>由</w:t>
      </w:r>
      <w:r>
        <w:rPr>
          <w:rFonts w:hint="eastAsia" w:hAnsi="宋体"/>
          <w:lang w:val="en-US" w:eastAsia="zh-CN"/>
        </w:rPr>
        <w:t>辽宁省工业和信息化厅归口</w:t>
      </w:r>
      <w:r>
        <w:rPr>
          <w:rFonts w:hAnsi="宋体"/>
        </w:rPr>
        <w:t>。</w:t>
      </w:r>
    </w:p>
    <w:p>
      <w:pPr>
        <w:pStyle w:val="30"/>
        <w:spacing w:line="360" w:lineRule="auto"/>
        <w:rPr>
          <w:rFonts w:hAnsi="宋体"/>
        </w:rPr>
      </w:pPr>
      <w:r>
        <w:rPr>
          <w:rFonts w:hint="eastAsia" w:hAnsi="宋体"/>
        </w:rPr>
        <w:t>本文件起草单位：辽宁高速通智慧出行有限责任公司、沈阳东软交通信息技术有限公司。</w:t>
      </w:r>
    </w:p>
    <w:p>
      <w:pPr>
        <w:pStyle w:val="30"/>
        <w:spacing w:line="360" w:lineRule="auto"/>
      </w:pPr>
      <w:r>
        <w:rPr>
          <w:rFonts w:hint="eastAsia" w:hAnsi="宋体"/>
        </w:rPr>
        <w:t>本文件主要起草人：何沛韬、展恩宁、陈昱靦、朱瑞新、葛大明、王梦麟、王阳</w:t>
      </w:r>
      <w:r>
        <w:rPr>
          <w:rFonts w:hint="eastAsia" w:hAnsi="宋体"/>
          <w:lang w:eastAsia="zh-CN"/>
        </w:rPr>
        <w:t>、肇毓</w:t>
      </w:r>
      <w:r>
        <w:rPr>
          <w:rFonts w:hint="eastAsia"/>
        </w:rPr>
        <w:t>。</w:t>
      </w:r>
    </w:p>
    <w:p>
      <w:pPr>
        <w:pStyle w:val="30"/>
        <w:spacing w:line="360" w:lineRule="auto"/>
        <w:rPr>
          <w:rFonts w:hint="eastAsia"/>
        </w:rPr>
      </w:pPr>
      <w:r>
        <w:rPr>
          <w:rFonts w:hint="eastAsia"/>
        </w:rPr>
        <w:t>本文件发布实施后，任何单位和个人如有问题和意见建议，均可以通过来电和来函等方式进行反馈，我们将及时答复并认真处理，根据实际情况依法进行评估及复审。</w:t>
      </w:r>
      <w:bookmarkStart w:id="129" w:name="_GoBack"/>
      <w:bookmarkEnd w:id="129"/>
    </w:p>
    <w:p>
      <w:pPr>
        <w:pStyle w:val="30"/>
        <w:spacing w:line="360" w:lineRule="auto"/>
        <w:rPr>
          <w:rFonts w:hint="eastAsia"/>
          <w:szCs w:val="22"/>
        </w:rPr>
      </w:pPr>
      <w:r>
        <w:rPr>
          <w:rFonts w:hint="eastAsia"/>
        </w:rPr>
        <w:t>本文件起草单位通讯地址和联系电话：</w:t>
      </w:r>
      <w:r>
        <w:rPr>
          <w:rFonts w:hint="eastAsia"/>
          <w:szCs w:val="22"/>
        </w:rPr>
        <w:t>辽宁省沈阳市浑南区胜利南街677-1，+861</w:t>
      </w:r>
      <w:r>
        <w:rPr>
          <w:rFonts w:hint="eastAsia"/>
          <w:szCs w:val="22"/>
          <w:lang w:val="en-US" w:eastAsia="zh-CN"/>
        </w:rPr>
        <w:t>3700026853</w:t>
      </w:r>
      <w:r>
        <w:rPr>
          <w:rFonts w:hint="eastAsia"/>
          <w:szCs w:val="22"/>
        </w:rPr>
        <w:t>。</w:t>
      </w:r>
    </w:p>
    <w:p>
      <w:pPr>
        <w:pStyle w:val="30"/>
        <w:spacing w:line="360" w:lineRule="auto"/>
        <w:rPr>
          <w:rFonts w:hint="eastAsia" w:eastAsia="宋体"/>
          <w:szCs w:val="22"/>
          <w:lang w:eastAsia="zh-CN"/>
        </w:rPr>
        <w:sectPr>
          <w:footerReference r:id="rId8" w:type="default"/>
          <w:footerReference r:id="rId9" w:type="even"/>
          <w:pgSz w:w="11906" w:h="16838"/>
          <w:pgMar w:top="1417" w:right="1134" w:bottom="1134" w:left="1417" w:header="1418" w:footer="1134" w:gutter="0"/>
          <w:pgNumType w:fmt="upperRoman"/>
          <w:cols w:space="720" w:num="1"/>
          <w:formProt w:val="0"/>
          <w:docGrid w:type="lines" w:linePitch="312" w:charSpace="0"/>
        </w:sectPr>
      </w:pPr>
    </w:p>
    <w:bookmarkEnd w:id="0"/>
    <w:p>
      <w:pPr>
        <w:spacing w:line="360" w:lineRule="auto"/>
        <w:jc w:val="center"/>
        <w:rPr>
          <w:rFonts w:hint="eastAsia" w:ascii="黑体" w:hAnsi="黑体" w:eastAsia="黑体" w:cs="黑体"/>
          <w:sz w:val="32"/>
          <w:szCs w:val="32"/>
          <w:lang w:eastAsia="zh-CN"/>
        </w:rPr>
      </w:pPr>
      <w:r>
        <w:rPr>
          <w:rFonts w:hint="eastAsia" w:ascii="黑体" w:hAnsi="黑体" w:eastAsia="黑体" w:cs="黑体"/>
          <w:sz w:val="32"/>
          <w:szCs w:val="32"/>
          <w:lang w:eastAsia="zh-CN"/>
        </w:rPr>
        <w:t>ETC</w:t>
      </w:r>
      <w:r>
        <w:rPr>
          <w:rFonts w:hint="eastAsia" w:ascii="黑体" w:hAnsi="黑体" w:eastAsia="黑体" w:cs="黑体"/>
          <w:sz w:val="32"/>
          <w:szCs w:val="32"/>
          <w:lang w:val="en-US" w:eastAsia="zh-CN"/>
        </w:rPr>
        <w:t>智慧</w:t>
      </w:r>
      <w:r>
        <w:rPr>
          <w:rFonts w:hint="eastAsia" w:ascii="黑体" w:hAnsi="黑体" w:eastAsia="黑体" w:cs="黑体"/>
          <w:sz w:val="32"/>
          <w:szCs w:val="32"/>
          <w:lang w:eastAsia="zh-CN"/>
        </w:rPr>
        <w:t>停车场</w:t>
      </w:r>
      <w:r>
        <w:rPr>
          <w:rFonts w:hint="eastAsia" w:ascii="黑体" w:hAnsi="黑体" w:eastAsia="黑体" w:cs="黑体"/>
          <w:sz w:val="32"/>
          <w:szCs w:val="32"/>
          <w:lang w:val="en-US" w:eastAsia="zh-CN"/>
        </w:rPr>
        <w:t xml:space="preserve"> </w:t>
      </w:r>
      <w:r>
        <w:rPr>
          <w:rFonts w:hint="eastAsia" w:ascii="黑体" w:hAnsi="黑体" w:eastAsia="黑体" w:cs="黑体"/>
          <w:sz w:val="32"/>
          <w:szCs w:val="32"/>
          <w:lang w:eastAsia="zh-CN"/>
        </w:rPr>
        <w:t>信息系统建设要求</w:t>
      </w:r>
    </w:p>
    <w:p>
      <w:pPr>
        <w:pStyle w:val="32"/>
        <w:spacing w:before="312" w:after="312" w:line="360" w:lineRule="auto"/>
      </w:pPr>
      <w:bookmarkStart w:id="7" w:name="_Toc13382"/>
      <w:bookmarkStart w:id="8" w:name="_Toc15340"/>
      <w:bookmarkStart w:id="9" w:name="_Toc21437"/>
      <w:bookmarkStart w:id="10" w:name="_Toc13277"/>
      <w:r>
        <w:rPr>
          <w:rFonts w:hint="eastAsia"/>
        </w:rPr>
        <w:t>范围</w:t>
      </w:r>
      <w:bookmarkEnd w:id="7"/>
      <w:bookmarkEnd w:id="8"/>
      <w:bookmarkEnd w:id="9"/>
      <w:bookmarkEnd w:id="10"/>
    </w:p>
    <w:p>
      <w:pPr>
        <w:pStyle w:val="30"/>
        <w:spacing w:line="360" w:lineRule="auto"/>
        <w:rPr>
          <w:rFonts w:hint="eastAsia"/>
          <w:szCs w:val="21"/>
        </w:rPr>
      </w:pPr>
      <w:r>
        <w:rPr>
          <w:rFonts w:hint="eastAsia"/>
          <w:szCs w:val="21"/>
          <w:lang w:val="en-US" w:eastAsia="zh-CN"/>
        </w:rPr>
        <w:t>本文件确立了停车场接入服务平台的</w:t>
      </w:r>
      <w:r>
        <w:rPr>
          <w:rFonts w:hint="eastAsia"/>
          <w:szCs w:val="21"/>
        </w:rPr>
        <w:t>系统构成、架构设计、层次划分</w:t>
      </w:r>
      <w:r>
        <w:rPr>
          <w:rFonts w:hint="eastAsia"/>
          <w:szCs w:val="21"/>
          <w:lang w:val="en-US" w:eastAsia="zh-CN"/>
        </w:rPr>
        <w:t>和</w:t>
      </w:r>
      <w:r>
        <w:rPr>
          <w:rFonts w:hint="eastAsia"/>
          <w:szCs w:val="21"/>
        </w:rPr>
        <w:t>系统功能等方面的</w:t>
      </w:r>
      <w:r>
        <w:rPr>
          <w:rFonts w:hint="eastAsia"/>
          <w:szCs w:val="21"/>
          <w:lang w:val="en-US" w:eastAsia="zh-CN"/>
        </w:rPr>
        <w:t>要求</w:t>
      </w:r>
      <w:r>
        <w:rPr>
          <w:rFonts w:hint="eastAsia"/>
          <w:szCs w:val="21"/>
        </w:rPr>
        <w:t>。</w:t>
      </w:r>
    </w:p>
    <w:p>
      <w:pPr>
        <w:pStyle w:val="30"/>
        <w:spacing w:line="360" w:lineRule="auto"/>
        <w:jc w:val="both"/>
        <w:rPr>
          <w:rFonts w:hint="eastAsia"/>
          <w:szCs w:val="21"/>
        </w:rPr>
      </w:pPr>
      <w:r>
        <w:rPr>
          <w:rFonts w:hint="eastAsia"/>
          <w:szCs w:val="21"/>
          <w:highlight w:val="none"/>
        </w:rPr>
        <w:t>本文件适用于辽宁高速投资建设停车场（库）。</w:t>
      </w:r>
    </w:p>
    <w:p>
      <w:pPr>
        <w:pStyle w:val="32"/>
        <w:spacing w:before="312" w:after="312" w:line="360" w:lineRule="auto"/>
      </w:pPr>
      <w:bookmarkStart w:id="11" w:name="_Toc14049"/>
      <w:bookmarkStart w:id="12" w:name="_Toc969"/>
      <w:bookmarkStart w:id="13" w:name="_Toc28726"/>
      <w:bookmarkStart w:id="14" w:name="_Toc13501"/>
      <w:r>
        <w:rPr>
          <w:rFonts w:hint="eastAsia"/>
        </w:rPr>
        <w:t>规范性引用文件</w:t>
      </w:r>
      <w:bookmarkEnd w:id="11"/>
      <w:bookmarkEnd w:id="12"/>
      <w:bookmarkEnd w:id="13"/>
      <w:bookmarkEnd w:id="14"/>
    </w:p>
    <w:p>
      <w:pPr>
        <w:pStyle w:val="30"/>
      </w:pPr>
      <w:r>
        <w:rPr>
          <w:rFonts w:hint="eastAsia"/>
          <w:lang w:val="en-US" w:eastAsia="zh-CN"/>
        </w:rPr>
        <w:t>本文件没有规范性引用文件。</w:t>
      </w:r>
    </w:p>
    <w:p>
      <w:pPr>
        <w:pStyle w:val="32"/>
        <w:spacing w:before="312" w:after="312" w:line="360" w:lineRule="auto"/>
      </w:pPr>
      <w:bookmarkStart w:id="15" w:name="_Toc420509188"/>
      <w:bookmarkStart w:id="16" w:name="_Toc12695"/>
      <w:bookmarkStart w:id="17" w:name="_Toc5294"/>
      <w:bookmarkStart w:id="18" w:name="_Toc24065"/>
      <w:bookmarkStart w:id="19" w:name="_Toc20585"/>
      <w:bookmarkStart w:id="20" w:name="_Toc420509244"/>
      <w:r>
        <w:rPr>
          <w:rFonts w:hint="eastAsia"/>
        </w:rPr>
        <w:t>术语和定义</w:t>
      </w:r>
      <w:bookmarkEnd w:id="15"/>
      <w:bookmarkEnd w:id="16"/>
      <w:bookmarkEnd w:id="17"/>
      <w:bookmarkEnd w:id="18"/>
      <w:bookmarkEnd w:id="19"/>
      <w:bookmarkEnd w:id="20"/>
    </w:p>
    <w:p>
      <w:pPr>
        <w:pStyle w:val="30"/>
        <w:spacing w:line="360" w:lineRule="auto"/>
        <w:rPr>
          <w:rFonts w:hint="eastAsia" w:hAnsi="宋体"/>
        </w:rPr>
      </w:pPr>
      <w:r>
        <w:rPr>
          <w:rFonts w:hAnsi="宋体"/>
        </w:rPr>
        <w:t>下列术语和定义适用于本</w:t>
      </w:r>
      <w:r>
        <w:rPr>
          <w:rFonts w:hint="eastAsia" w:hAnsi="宋体"/>
        </w:rPr>
        <w:t>文件。</w:t>
      </w:r>
    </w:p>
    <w:p>
      <w:pPr>
        <w:pStyle w:val="33"/>
        <w:spacing w:before="156" w:after="156" w:line="360" w:lineRule="auto"/>
        <w:rPr>
          <w:rFonts w:hint="eastAsia"/>
        </w:rPr>
      </w:pPr>
    </w:p>
    <w:p>
      <w:pPr>
        <w:pStyle w:val="30"/>
        <w:spacing w:line="360" w:lineRule="auto"/>
        <w:rPr>
          <w:rFonts w:hint="eastAsia" w:ascii="黑体" w:eastAsia="黑体"/>
          <w:szCs w:val="21"/>
        </w:rPr>
      </w:pPr>
      <w:r>
        <w:rPr>
          <w:rFonts w:hint="eastAsia" w:ascii="黑体" w:eastAsia="黑体"/>
          <w:szCs w:val="21"/>
        </w:rPr>
        <w:t>大数据</w:t>
      </w:r>
      <w:r>
        <w:rPr>
          <w:rFonts w:hint="eastAsia" w:ascii="黑体" w:eastAsia="黑体"/>
          <w:szCs w:val="21"/>
          <w:lang w:eastAsia="zh-CN"/>
        </w:rPr>
        <w:t>　</w:t>
      </w:r>
      <w:r>
        <w:rPr>
          <w:rFonts w:hint="eastAsia" w:ascii="黑体" w:eastAsia="黑体"/>
          <w:szCs w:val="21"/>
          <w:lang w:val="en-US" w:eastAsia="zh-CN"/>
        </w:rPr>
        <w:t>b</w:t>
      </w:r>
      <w:r>
        <w:rPr>
          <w:rFonts w:hint="eastAsia" w:ascii="黑体" w:eastAsia="黑体"/>
          <w:szCs w:val="21"/>
        </w:rPr>
        <w:t>ig</w:t>
      </w:r>
      <w:r>
        <w:rPr>
          <w:rFonts w:hint="eastAsia" w:ascii="黑体" w:eastAsia="黑体"/>
          <w:szCs w:val="21"/>
          <w:lang w:val="en-US" w:eastAsia="zh-CN"/>
        </w:rPr>
        <w:t xml:space="preserve"> </w:t>
      </w:r>
      <w:r>
        <w:rPr>
          <w:rFonts w:hint="eastAsia" w:ascii="黑体" w:eastAsia="黑体"/>
          <w:szCs w:val="21"/>
        </w:rPr>
        <w:t>data</w:t>
      </w:r>
    </w:p>
    <w:p>
      <w:pPr>
        <w:pStyle w:val="30"/>
        <w:spacing w:line="360" w:lineRule="auto"/>
        <w:rPr>
          <w:szCs w:val="22"/>
        </w:rPr>
      </w:pPr>
      <w:r>
        <w:rPr>
          <w:rFonts w:hint="eastAsia"/>
          <w:szCs w:val="22"/>
        </w:rPr>
        <w:t>指无法在一定时间范围内用常规软件工具进行捕捉、管理和处理的数据集合，是需要新处理模式才能具有更强的决策力、洞察发现力和流程优化能力的海量、高增长率和多样化的信息资产。</w:t>
      </w:r>
    </w:p>
    <w:p>
      <w:pPr>
        <w:pStyle w:val="30"/>
        <w:spacing w:line="360" w:lineRule="auto"/>
        <w:ind w:left="0" w:leftChars="0" w:firstLine="0" w:firstLineChars="0"/>
        <w:rPr>
          <w:rFonts w:hint="eastAsia" w:hAnsi="宋体"/>
        </w:rPr>
      </w:pPr>
    </w:p>
    <w:p>
      <w:pPr>
        <w:pStyle w:val="33"/>
        <w:spacing w:before="156" w:after="156" w:line="360" w:lineRule="auto"/>
      </w:pPr>
      <w:bookmarkStart w:id="21" w:name="_Toc6349"/>
      <w:bookmarkEnd w:id="21"/>
      <w:bookmarkStart w:id="22" w:name="_Toc16863"/>
      <w:bookmarkEnd w:id="22"/>
      <w:bookmarkStart w:id="23" w:name="_Toc29340"/>
      <w:bookmarkEnd w:id="23"/>
      <w:bookmarkStart w:id="24" w:name="_Toc4234"/>
      <w:bookmarkEnd w:id="24"/>
      <w:bookmarkStart w:id="25" w:name="_Toc20309"/>
      <w:bookmarkEnd w:id="25"/>
      <w:bookmarkStart w:id="26" w:name="_Toc31584"/>
      <w:bookmarkEnd w:id="26"/>
      <w:bookmarkStart w:id="27" w:name="_Toc16784"/>
      <w:bookmarkEnd w:id="27"/>
      <w:bookmarkStart w:id="28" w:name="_Toc420509245"/>
      <w:bookmarkEnd w:id="28"/>
      <w:bookmarkStart w:id="29" w:name="_Toc420509189"/>
      <w:bookmarkEnd w:id="29"/>
      <w:bookmarkStart w:id="30" w:name="_Toc12270"/>
      <w:bookmarkEnd w:id="30"/>
      <w:bookmarkStart w:id="31" w:name="_Toc5131"/>
      <w:bookmarkEnd w:id="31"/>
      <w:bookmarkStart w:id="32" w:name="_Toc1258"/>
      <w:bookmarkEnd w:id="32"/>
      <w:bookmarkStart w:id="33" w:name="_Toc26135"/>
      <w:bookmarkEnd w:id="33"/>
      <w:bookmarkStart w:id="34" w:name="_Toc11884"/>
      <w:bookmarkEnd w:id="34"/>
      <w:bookmarkStart w:id="35" w:name="_Toc420582963"/>
      <w:bookmarkStart w:id="36" w:name="_Toc420508186"/>
    </w:p>
    <w:p>
      <w:pPr>
        <w:pStyle w:val="30"/>
        <w:spacing w:line="360" w:lineRule="auto"/>
        <w:rPr>
          <w:rFonts w:ascii="黑体" w:eastAsia="黑体"/>
          <w:szCs w:val="21"/>
        </w:rPr>
      </w:pPr>
      <w:r>
        <w:rPr>
          <w:rFonts w:hint="eastAsia" w:ascii="黑体" w:eastAsia="黑体"/>
          <w:szCs w:val="21"/>
        </w:rPr>
        <w:t>辽宁高速ETC拓展服务平台</w:t>
      </w:r>
      <w:r>
        <w:rPr>
          <w:rFonts w:hint="eastAsia" w:ascii="黑体" w:eastAsia="黑体"/>
          <w:szCs w:val="21"/>
          <w:lang w:val="en-US" w:eastAsia="zh-CN"/>
        </w:rPr>
        <w:t>　liaoning expressway ETC extension service platform</w:t>
      </w:r>
    </w:p>
    <w:p>
      <w:pPr>
        <w:pStyle w:val="30"/>
        <w:spacing w:line="360" w:lineRule="auto"/>
        <w:rPr>
          <w:rFonts w:hint="eastAsia"/>
          <w:szCs w:val="22"/>
        </w:rPr>
      </w:pPr>
      <w:r>
        <w:rPr>
          <w:rFonts w:hint="eastAsia"/>
          <w:szCs w:val="22"/>
        </w:rPr>
        <w:t>辽宁ETC发行机构负责组织建设并运行维护，负责服务商和商户入网检查、审核报备、多级分层管理运营、车主营销、天线设备对接管理、ETC支付交易对账清分、差错处理、银行系统对接、交易和资金风控</w:t>
      </w:r>
      <w:r>
        <w:rPr>
          <w:rFonts w:hint="eastAsia"/>
          <w:szCs w:val="22"/>
          <w:lang w:val="en-US" w:eastAsia="zh-CN"/>
        </w:rPr>
        <w:t>及</w:t>
      </w:r>
      <w:r>
        <w:rPr>
          <w:rFonts w:hint="eastAsia"/>
          <w:szCs w:val="22"/>
        </w:rPr>
        <w:t>电子发票等。通过与停车场计费软件对接，车辆出口时，将交易上送拓展应用平台，完成停车ETC扣费。</w:t>
      </w:r>
    </w:p>
    <w:p>
      <w:pPr>
        <w:pStyle w:val="33"/>
        <w:spacing w:before="156" w:after="156" w:line="360" w:lineRule="auto"/>
        <w:rPr>
          <w:rFonts w:hint="eastAsia"/>
        </w:rPr>
      </w:pPr>
    </w:p>
    <w:p>
      <w:pPr>
        <w:pStyle w:val="30"/>
        <w:spacing w:line="360" w:lineRule="auto"/>
        <w:rPr>
          <w:rFonts w:ascii="黑体" w:eastAsia="黑体"/>
          <w:szCs w:val="21"/>
        </w:rPr>
      </w:pPr>
      <w:r>
        <w:rPr>
          <w:rFonts w:hint="eastAsia" w:ascii="黑体" w:eastAsia="黑体"/>
          <w:szCs w:val="21"/>
        </w:rPr>
        <w:t>数据可视化</w:t>
      </w:r>
      <w:r>
        <w:rPr>
          <w:rFonts w:hint="eastAsia" w:ascii="黑体" w:eastAsia="黑体"/>
          <w:szCs w:val="21"/>
          <w:lang w:eastAsia="zh-CN"/>
        </w:rPr>
        <w:t>　</w:t>
      </w:r>
      <w:r>
        <w:rPr>
          <w:rFonts w:hint="eastAsia" w:ascii="黑体" w:eastAsia="黑体"/>
          <w:szCs w:val="21"/>
          <w:lang w:val="en-US" w:eastAsia="zh-CN"/>
        </w:rPr>
        <w:t>d</w:t>
      </w:r>
      <w:r>
        <w:rPr>
          <w:rFonts w:hint="eastAsia" w:ascii="黑体" w:eastAsia="黑体"/>
          <w:szCs w:val="21"/>
        </w:rPr>
        <w:t>ata</w:t>
      </w:r>
      <w:r>
        <w:rPr>
          <w:rFonts w:hint="eastAsia" w:ascii="黑体" w:eastAsia="黑体"/>
          <w:szCs w:val="21"/>
          <w:lang w:val="en-US" w:eastAsia="zh-CN"/>
        </w:rPr>
        <w:t xml:space="preserve"> v</w:t>
      </w:r>
      <w:r>
        <w:rPr>
          <w:rFonts w:hint="eastAsia" w:ascii="黑体" w:eastAsia="黑体"/>
          <w:szCs w:val="21"/>
        </w:rPr>
        <w:t>isualization</w:t>
      </w:r>
    </w:p>
    <w:p>
      <w:pPr>
        <w:pStyle w:val="30"/>
        <w:spacing w:line="360" w:lineRule="auto"/>
        <w:rPr>
          <w:rFonts w:hint="eastAsia"/>
          <w:szCs w:val="22"/>
        </w:rPr>
      </w:pPr>
      <w:r>
        <w:rPr>
          <w:rFonts w:hint="eastAsia"/>
          <w:szCs w:val="21"/>
          <w:lang w:val="en-US" w:eastAsia="zh-CN"/>
        </w:rPr>
        <w:t>指研究大规模数值与非数值信息资源的视觉呈现，利用计算机实现对抽象数据的交互式可视表示，来增强人们对这些抽象信息的认知，帮助人们理解和分析数据。</w:t>
      </w:r>
    </w:p>
    <w:p>
      <w:pPr>
        <w:pStyle w:val="33"/>
        <w:spacing w:before="156" w:after="156" w:line="360" w:lineRule="auto"/>
      </w:pPr>
      <w:bookmarkStart w:id="37" w:name="_Toc3245"/>
      <w:bookmarkEnd w:id="37"/>
      <w:bookmarkStart w:id="38" w:name="_Toc25872"/>
      <w:bookmarkEnd w:id="38"/>
      <w:bookmarkStart w:id="39" w:name="_Toc12836"/>
      <w:bookmarkEnd w:id="39"/>
      <w:bookmarkStart w:id="40" w:name="_Toc1"/>
      <w:bookmarkEnd w:id="40"/>
      <w:bookmarkStart w:id="41" w:name="_Toc3009"/>
      <w:bookmarkEnd w:id="41"/>
      <w:bookmarkStart w:id="42" w:name="_Toc24969"/>
      <w:bookmarkEnd w:id="42"/>
      <w:bookmarkStart w:id="43" w:name="_Toc7206"/>
      <w:bookmarkEnd w:id="43"/>
      <w:bookmarkStart w:id="44" w:name="_Toc5173"/>
      <w:bookmarkEnd w:id="44"/>
      <w:bookmarkStart w:id="45" w:name="_Toc24542"/>
      <w:bookmarkEnd w:id="45"/>
      <w:bookmarkStart w:id="46" w:name="_Toc5590"/>
      <w:bookmarkEnd w:id="46"/>
      <w:bookmarkStart w:id="47" w:name="_Toc26977"/>
      <w:bookmarkEnd w:id="47"/>
      <w:bookmarkStart w:id="48" w:name="_Toc1648"/>
      <w:bookmarkEnd w:id="48"/>
    </w:p>
    <w:p>
      <w:pPr>
        <w:pStyle w:val="30"/>
        <w:spacing w:line="360" w:lineRule="auto"/>
        <w:rPr>
          <w:rFonts w:hint="eastAsia" w:ascii="黑体" w:eastAsia="黑体"/>
          <w:szCs w:val="21"/>
          <w:lang w:eastAsia="zh-CN"/>
        </w:rPr>
      </w:pPr>
      <w:r>
        <w:rPr>
          <w:rFonts w:hint="eastAsia" w:ascii="黑体" w:eastAsia="黑体"/>
          <w:szCs w:val="21"/>
        </w:rPr>
        <w:t>停车场接入服务平台</w:t>
      </w:r>
      <w:r>
        <w:rPr>
          <w:rFonts w:hint="eastAsia" w:ascii="黑体" w:eastAsia="黑体"/>
          <w:szCs w:val="21"/>
          <w:lang w:val="en-US" w:eastAsia="zh-CN"/>
        </w:rPr>
        <w:t>　p</w:t>
      </w:r>
      <w:r>
        <w:rPr>
          <w:rFonts w:hint="eastAsia" w:ascii="黑体" w:eastAsia="黑体"/>
          <w:szCs w:val="21"/>
        </w:rPr>
        <w:t>arking</w:t>
      </w:r>
      <w:r>
        <w:rPr>
          <w:rFonts w:hint="eastAsia" w:ascii="黑体" w:eastAsia="黑体"/>
          <w:szCs w:val="21"/>
          <w:lang w:val="en-US" w:eastAsia="zh-CN"/>
        </w:rPr>
        <w:t xml:space="preserve"> </w:t>
      </w:r>
      <w:r>
        <w:rPr>
          <w:rFonts w:hint="eastAsia" w:ascii="黑体" w:eastAsia="黑体"/>
          <w:szCs w:val="21"/>
        </w:rPr>
        <w:t>access</w:t>
      </w:r>
      <w:r>
        <w:rPr>
          <w:rFonts w:hint="eastAsia" w:ascii="黑体" w:eastAsia="黑体"/>
          <w:szCs w:val="21"/>
          <w:lang w:val="en-US" w:eastAsia="zh-CN"/>
        </w:rPr>
        <w:t xml:space="preserve"> </w:t>
      </w:r>
      <w:r>
        <w:rPr>
          <w:rFonts w:hint="eastAsia" w:ascii="黑体" w:eastAsia="黑体"/>
          <w:szCs w:val="21"/>
        </w:rPr>
        <w:t>service</w:t>
      </w:r>
      <w:r>
        <w:rPr>
          <w:rFonts w:hint="eastAsia" w:ascii="黑体" w:eastAsia="黑体"/>
          <w:szCs w:val="21"/>
          <w:lang w:val="en-US" w:eastAsia="zh-CN"/>
        </w:rPr>
        <w:t xml:space="preserve"> </w:t>
      </w:r>
      <w:r>
        <w:rPr>
          <w:rFonts w:hint="eastAsia" w:ascii="黑体" w:eastAsia="黑体"/>
          <w:szCs w:val="21"/>
        </w:rPr>
        <w:t>platform</w:t>
      </w:r>
    </w:p>
    <w:p>
      <w:pPr>
        <w:pStyle w:val="30"/>
        <w:spacing w:line="360" w:lineRule="auto"/>
        <w:rPr>
          <w:rFonts w:hint="eastAsia"/>
          <w:szCs w:val="22"/>
        </w:rPr>
      </w:pPr>
      <w:r>
        <w:rPr>
          <w:rFonts w:hint="eastAsia"/>
          <w:szCs w:val="22"/>
        </w:rPr>
        <w:t>在辽宁ETC发行机构授权下，组织建设并运行维护的停车服务系统。该系统负责对管理范围内的停车场（库）信息管理系统实现数据互通互联，按照辽宁ETC发行机构统一标准要求采集</w:t>
      </w:r>
      <w:r>
        <w:rPr>
          <w:rFonts w:hint="eastAsia"/>
          <w:szCs w:val="22"/>
          <w:lang w:val="en-US" w:eastAsia="zh-CN"/>
        </w:rPr>
        <w:t>和</w:t>
      </w:r>
      <w:r>
        <w:rPr>
          <w:rFonts w:hint="eastAsia"/>
          <w:szCs w:val="22"/>
        </w:rPr>
        <w:t>传输信息。</w:t>
      </w:r>
    </w:p>
    <w:p>
      <w:pPr>
        <w:pStyle w:val="33"/>
        <w:spacing w:before="156" w:after="156" w:line="360" w:lineRule="auto"/>
      </w:pPr>
    </w:p>
    <w:p>
      <w:pPr>
        <w:pStyle w:val="30"/>
        <w:spacing w:line="360" w:lineRule="auto"/>
        <w:rPr>
          <w:rFonts w:hint="default" w:ascii="黑体" w:eastAsia="黑体"/>
          <w:szCs w:val="21"/>
          <w:lang w:val="en-US"/>
        </w:rPr>
      </w:pPr>
      <w:r>
        <w:rPr>
          <w:rFonts w:hint="eastAsia" w:ascii="黑体" w:eastAsia="黑体"/>
          <w:szCs w:val="21"/>
          <w:lang w:val="en-US" w:eastAsia="zh-CN"/>
        </w:rPr>
        <w:t>准入停车场（库）</w:t>
      </w:r>
      <w:r>
        <w:rPr>
          <w:rFonts w:hint="eastAsia" w:ascii="黑体" w:eastAsia="黑体"/>
          <w:szCs w:val="21"/>
          <w:lang w:eastAsia="zh-CN"/>
        </w:rPr>
        <w:t>　qualification access</w:t>
      </w:r>
      <w:r>
        <w:rPr>
          <w:rFonts w:hint="eastAsia" w:ascii="黑体" w:eastAsia="黑体"/>
          <w:szCs w:val="21"/>
          <w:lang w:val="en-US" w:eastAsia="zh-CN"/>
        </w:rPr>
        <w:t xml:space="preserve"> parking lot(</w:t>
      </w:r>
      <w:r>
        <w:rPr>
          <w:rFonts w:hint="eastAsia" w:ascii="黑体" w:eastAsia="黑体"/>
          <w:szCs w:val="21"/>
          <w:highlight w:val="none"/>
        </w:rPr>
        <w:t>garage</w:t>
      </w:r>
      <w:r>
        <w:rPr>
          <w:rFonts w:hint="eastAsia" w:ascii="黑体" w:eastAsia="黑体"/>
          <w:szCs w:val="21"/>
          <w:lang w:val="en-US" w:eastAsia="zh-CN"/>
        </w:rPr>
        <w:t>)</w:t>
      </w:r>
    </w:p>
    <w:p>
      <w:pPr>
        <w:pStyle w:val="30"/>
        <w:spacing w:line="360" w:lineRule="auto"/>
        <w:rPr>
          <w:rFonts w:hint="default" w:eastAsia="宋体"/>
          <w:szCs w:val="22"/>
          <w:lang w:val="en-US" w:eastAsia="zh-CN"/>
        </w:rPr>
      </w:pPr>
      <w:r>
        <w:rPr>
          <w:rFonts w:hint="eastAsia"/>
          <w:szCs w:val="22"/>
          <w:lang w:val="en-US" w:eastAsia="zh-CN"/>
        </w:rPr>
        <w:t>具有加入辽宁ETC智慧停车场资格，且准备加入ETC智慧停车的停车场和停车库。</w:t>
      </w:r>
    </w:p>
    <w:p>
      <w:pPr>
        <w:pStyle w:val="33"/>
        <w:spacing w:before="156" w:after="156" w:line="360" w:lineRule="auto"/>
      </w:pPr>
      <w:bookmarkStart w:id="49" w:name="_Toc13834"/>
      <w:bookmarkEnd w:id="49"/>
      <w:bookmarkStart w:id="50" w:name="_Toc4547"/>
      <w:bookmarkEnd w:id="50"/>
      <w:bookmarkStart w:id="51" w:name="_Toc23012"/>
      <w:bookmarkEnd w:id="51"/>
      <w:bookmarkStart w:id="52" w:name="_Toc31869"/>
      <w:bookmarkEnd w:id="52"/>
      <w:bookmarkStart w:id="53" w:name="_Toc6338"/>
      <w:bookmarkEnd w:id="53"/>
      <w:bookmarkStart w:id="54" w:name="_Toc14862"/>
      <w:bookmarkEnd w:id="54"/>
      <w:bookmarkStart w:id="55" w:name="_Toc30586"/>
      <w:bookmarkEnd w:id="55"/>
      <w:bookmarkStart w:id="56" w:name="_Toc27557"/>
      <w:bookmarkEnd w:id="56"/>
      <w:bookmarkStart w:id="57" w:name="_Toc31395"/>
      <w:bookmarkEnd w:id="57"/>
      <w:bookmarkStart w:id="58" w:name="_Toc14701"/>
      <w:bookmarkEnd w:id="58"/>
      <w:bookmarkStart w:id="59" w:name="_Toc22486"/>
      <w:bookmarkEnd w:id="59"/>
      <w:bookmarkStart w:id="60" w:name="_Toc28225"/>
      <w:bookmarkEnd w:id="60"/>
    </w:p>
    <w:p>
      <w:pPr>
        <w:pStyle w:val="30"/>
        <w:spacing w:line="360" w:lineRule="auto"/>
        <w:rPr>
          <w:rFonts w:ascii="黑体" w:eastAsia="黑体"/>
          <w:szCs w:val="21"/>
        </w:rPr>
      </w:pPr>
      <w:r>
        <w:rPr>
          <w:rFonts w:hint="eastAsia" w:ascii="黑体" w:eastAsia="黑体"/>
          <w:szCs w:val="21"/>
        </w:rPr>
        <w:t>云计算</w:t>
      </w:r>
      <w:r>
        <w:rPr>
          <w:rFonts w:hint="eastAsia" w:ascii="黑体" w:eastAsia="黑体"/>
          <w:szCs w:val="21"/>
          <w:lang w:eastAsia="zh-CN"/>
        </w:rPr>
        <w:t>　</w:t>
      </w:r>
      <w:r>
        <w:rPr>
          <w:rFonts w:hint="eastAsia" w:ascii="黑体" w:eastAsia="黑体"/>
          <w:szCs w:val="21"/>
          <w:lang w:val="en-US" w:eastAsia="zh-CN"/>
        </w:rPr>
        <w:t>c</w:t>
      </w:r>
      <w:r>
        <w:rPr>
          <w:rFonts w:hint="eastAsia" w:ascii="黑体" w:eastAsia="黑体"/>
          <w:szCs w:val="21"/>
        </w:rPr>
        <w:t>loud</w:t>
      </w:r>
      <w:r>
        <w:rPr>
          <w:rFonts w:hint="eastAsia" w:ascii="黑体" w:eastAsia="黑体"/>
          <w:szCs w:val="21"/>
          <w:lang w:val="en-US" w:eastAsia="zh-CN"/>
        </w:rPr>
        <w:t xml:space="preserve"> </w:t>
      </w:r>
      <w:r>
        <w:rPr>
          <w:rFonts w:hint="eastAsia" w:ascii="黑体" w:eastAsia="黑体"/>
          <w:szCs w:val="21"/>
        </w:rPr>
        <w:t>computing</w:t>
      </w:r>
    </w:p>
    <w:p>
      <w:pPr>
        <w:pStyle w:val="30"/>
        <w:spacing w:line="360" w:lineRule="auto"/>
        <w:rPr>
          <w:rFonts w:hint="eastAsia"/>
        </w:rPr>
      </w:pPr>
      <w:r>
        <w:rPr>
          <w:rFonts w:hint="eastAsia"/>
        </w:rPr>
        <w:t>分布式计算的一种，指的是通过网络“云”将巨大的数据计算处理程序分解成无数个小程序，然后，通过多部服务器组成的系统进行处理和分析这些小程序得到结果并返回给用户。</w:t>
      </w:r>
    </w:p>
    <w:p>
      <w:pPr>
        <w:pStyle w:val="32"/>
        <w:spacing w:before="312" w:after="312" w:line="360" w:lineRule="auto"/>
        <w:rPr>
          <w:rFonts w:hint="eastAsia"/>
        </w:rPr>
      </w:pPr>
      <w:bookmarkStart w:id="61" w:name="_Toc16359"/>
      <w:bookmarkEnd w:id="61"/>
      <w:bookmarkStart w:id="62" w:name="_Toc11885"/>
      <w:bookmarkEnd w:id="62"/>
      <w:bookmarkStart w:id="63" w:name="_Toc21269"/>
      <w:bookmarkEnd w:id="63"/>
      <w:bookmarkStart w:id="64" w:name="_Toc23932"/>
      <w:bookmarkEnd w:id="64"/>
      <w:bookmarkStart w:id="65" w:name="_Toc8724"/>
      <w:bookmarkEnd w:id="65"/>
      <w:bookmarkStart w:id="66" w:name="_Toc28722"/>
      <w:bookmarkEnd w:id="66"/>
      <w:bookmarkStart w:id="67" w:name="_Toc27647"/>
      <w:bookmarkEnd w:id="67"/>
      <w:bookmarkStart w:id="68" w:name="_Toc17466"/>
      <w:bookmarkEnd w:id="68"/>
      <w:bookmarkStart w:id="69" w:name="_Toc24004"/>
      <w:bookmarkEnd w:id="69"/>
      <w:bookmarkStart w:id="70" w:name="_Toc12882"/>
      <w:bookmarkEnd w:id="70"/>
      <w:bookmarkStart w:id="71" w:name="_Toc8051"/>
      <w:bookmarkEnd w:id="71"/>
      <w:bookmarkStart w:id="72" w:name="_Toc9409"/>
      <w:bookmarkEnd w:id="72"/>
      <w:bookmarkStart w:id="73" w:name="_Toc4638"/>
      <w:bookmarkEnd w:id="73"/>
      <w:bookmarkStart w:id="74" w:name="_Toc767"/>
      <w:bookmarkEnd w:id="74"/>
      <w:bookmarkStart w:id="75" w:name="_Toc11206"/>
      <w:bookmarkEnd w:id="75"/>
      <w:bookmarkStart w:id="76" w:name="_Toc27868"/>
      <w:bookmarkEnd w:id="76"/>
      <w:bookmarkStart w:id="77" w:name="_Toc28227"/>
      <w:bookmarkEnd w:id="77"/>
      <w:bookmarkStart w:id="78" w:name="_Toc24306"/>
      <w:bookmarkEnd w:id="78"/>
      <w:bookmarkStart w:id="79" w:name="_Toc13331"/>
      <w:bookmarkEnd w:id="79"/>
      <w:bookmarkStart w:id="80" w:name="_Toc22461"/>
      <w:bookmarkEnd w:id="80"/>
      <w:bookmarkStart w:id="81" w:name="_Toc14011"/>
      <w:bookmarkEnd w:id="81"/>
      <w:bookmarkStart w:id="82" w:name="_Toc8353"/>
      <w:bookmarkEnd w:id="82"/>
      <w:bookmarkStart w:id="83" w:name="_Toc20615"/>
      <w:bookmarkEnd w:id="83"/>
      <w:bookmarkStart w:id="84" w:name="_Toc26390"/>
      <w:bookmarkEnd w:id="84"/>
      <w:bookmarkStart w:id="85" w:name="_Toc466"/>
      <w:bookmarkEnd w:id="85"/>
      <w:bookmarkStart w:id="86" w:name="_Toc17398"/>
      <w:bookmarkEnd w:id="86"/>
      <w:bookmarkStart w:id="87" w:name="_Toc25663"/>
      <w:bookmarkEnd w:id="87"/>
      <w:bookmarkStart w:id="88" w:name="_Toc15131"/>
      <w:bookmarkEnd w:id="88"/>
      <w:bookmarkStart w:id="89" w:name="_Toc29006"/>
      <w:r>
        <w:rPr>
          <w:rFonts w:hint="eastAsia"/>
          <w:lang w:val="en-US" w:eastAsia="zh-CN"/>
        </w:rPr>
        <w:t>缩略语</w:t>
      </w:r>
      <w:bookmarkEnd w:id="89"/>
    </w:p>
    <w:p>
      <w:pPr>
        <w:pStyle w:val="30"/>
        <w:spacing w:line="360" w:lineRule="auto"/>
      </w:pPr>
      <w:r>
        <w:rPr>
          <w:rFonts w:hint="eastAsia"/>
          <w:lang w:val="en-US" w:eastAsia="zh-CN"/>
        </w:rPr>
        <w:t>下列缩略语适用于本文件。</w:t>
      </w:r>
    </w:p>
    <w:p>
      <w:pPr>
        <w:pStyle w:val="30"/>
        <w:spacing w:line="360" w:lineRule="auto"/>
        <w:rPr>
          <w:rFonts w:hint="eastAsia" w:hAnsi="宋体" w:cs="宋体"/>
          <w:kern w:val="2"/>
          <w:szCs w:val="21"/>
        </w:rPr>
      </w:pPr>
      <w:r>
        <w:rPr>
          <w:rFonts w:hint="eastAsia" w:hAnsi="宋体" w:cs="宋体"/>
          <w:kern w:val="2"/>
          <w:szCs w:val="21"/>
          <w:lang w:val="en-US" w:eastAsia="zh-CN"/>
        </w:rPr>
        <w:t>ACID：入侵检测分析控制台（Analysis Consolefor Intrusion Databases）</w:t>
      </w:r>
    </w:p>
    <w:p>
      <w:pPr>
        <w:pStyle w:val="30"/>
        <w:spacing w:line="360" w:lineRule="auto"/>
        <w:rPr>
          <w:rFonts w:hint="eastAsia" w:hAnsi="宋体" w:cs="宋体"/>
          <w:kern w:val="2"/>
          <w:szCs w:val="21"/>
          <w:lang w:eastAsia="zh-CN"/>
        </w:rPr>
      </w:pPr>
      <w:r>
        <w:rPr>
          <w:rFonts w:hint="eastAsia" w:hAnsi="宋体" w:cs="宋体"/>
          <w:kern w:val="2"/>
          <w:szCs w:val="21"/>
        </w:rPr>
        <w:t>API</w:t>
      </w:r>
      <w:r>
        <w:rPr>
          <w:rFonts w:hint="eastAsia" w:hAnsi="宋体" w:cs="宋体"/>
          <w:kern w:val="2"/>
          <w:szCs w:val="21"/>
          <w:lang w:eastAsia="zh-CN"/>
        </w:rPr>
        <w:t>：</w:t>
      </w:r>
      <w:r>
        <w:rPr>
          <w:rFonts w:hint="eastAsia" w:hAnsi="宋体" w:cs="宋体"/>
          <w:kern w:val="2"/>
          <w:szCs w:val="21"/>
        </w:rPr>
        <w:t>应用程序编程接口</w:t>
      </w:r>
      <w:r>
        <w:rPr>
          <w:rFonts w:hint="eastAsia" w:hAnsi="宋体" w:cs="宋体"/>
          <w:kern w:val="2"/>
          <w:szCs w:val="21"/>
          <w:lang w:eastAsia="zh-CN"/>
        </w:rPr>
        <w:t>（</w:t>
      </w:r>
      <w:r>
        <w:rPr>
          <w:rFonts w:hint="eastAsia" w:hAnsi="宋体" w:cs="宋体"/>
          <w:kern w:val="2"/>
          <w:szCs w:val="21"/>
        </w:rPr>
        <w:t>Application</w:t>
      </w:r>
      <w:r>
        <w:rPr>
          <w:rFonts w:hint="eastAsia" w:hAnsi="宋体" w:cs="宋体"/>
          <w:kern w:val="2"/>
          <w:szCs w:val="21"/>
          <w:lang w:val="en-US" w:eastAsia="zh-CN"/>
        </w:rPr>
        <w:t xml:space="preserve"> </w:t>
      </w:r>
      <w:r>
        <w:rPr>
          <w:rFonts w:hint="eastAsia" w:hAnsi="宋体" w:cs="宋体"/>
          <w:kern w:val="2"/>
          <w:szCs w:val="21"/>
        </w:rPr>
        <w:t>Programming</w:t>
      </w:r>
      <w:r>
        <w:rPr>
          <w:rFonts w:hint="eastAsia" w:hAnsi="宋体" w:cs="宋体"/>
          <w:kern w:val="2"/>
          <w:szCs w:val="21"/>
          <w:lang w:val="en-US" w:eastAsia="zh-CN"/>
        </w:rPr>
        <w:t xml:space="preserve"> </w:t>
      </w:r>
      <w:r>
        <w:rPr>
          <w:rFonts w:hint="eastAsia" w:hAnsi="宋体" w:cs="宋体"/>
          <w:kern w:val="2"/>
          <w:szCs w:val="21"/>
        </w:rPr>
        <w:t>Interface</w:t>
      </w:r>
      <w:r>
        <w:rPr>
          <w:rFonts w:hint="eastAsia" w:hAnsi="宋体" w:cs="宋体"/>
          <w:kern w:val="2"/>
          <w:szCs w:val="21"/>
          <w:lang w:eastAsia="zh-CN"/>
        </w:rPr>
        <w:t>）</w:t>
      </w:r>
    </w:p>
    <w:p>
      <w:pPr>
        <w:pStyle w:val="30"/>
        <w:spacing w:line="360" w:lineRule="auto"/>
        <w:rPr>
          <w:rFonts w:hint="default" w:hAnsi="宋体" w:cs="宋体"/>
          <w:kern w:val="2"/>
          <w:szCs w:val="21"/>
          <w:lang w:val="en-US" w:eastAsia="zh-CN"/>
        </w:rPr>
      </w:pPr>
      <w:r>
        <w:rPr>
          <w:rFonts w:hint="eastAsia" w:hAnsi="宋体" w:cs="宋体"/>
          <w:kern w:val="2"/>
          <w:szCs w:val="21"/>
          <w:lang w:val="en-US" w:eastAsia="zh-CN"/>
        </w:rPr>
        <w:t>APP：应用程序</w:t>
      </w:r>
      <w:r>
        <w:rPr>
          <w:rFonts w:hint="eastAsia" w:hAnsi="宋体" w:cs="宋体"/>
          <w:kern w:val="2"/>
          <w:szCs w:val="21"/>
          <w:lang w:eastAsia="zh-CN"/>
        </w:rPr>
        <w:t>（</w:t>
      </w:r>
      <w:r>
        <w:rPr>
          <w:rFonts w:hint="eastAsia" w:hAnsi="宋体" w:cs="宋体"/>
          <w:kern w:val="2"/>
          <w:szCs w:val="21"/>
        </w:rPr>
        <w:t>Application</w:t>
      </w:r>
      <w:r>
        <w:rPr>
          <w:rFonts w:hint="eastAsia" w:hAnsi="宋体" w:cs="宋体"/>
          <w:kern w:val="2"/>
          <w:szCs w:val="21"/>
          <w:lang w:eastAsia="zh-CN"/>
        </w:rPr>
        <w:t>）</w:t>
      </w:r>
    </w:p>
    <w:p>
      <w:pPr>
        <w:pStyle w:val="30"/>
        <w:spacing w:line="360" w:lineRule="auto"/>
        <w:rPr>
          <w:rFonts w:hint="eastAsia" w:hAnsi="宋体" w:cs="宋体"/>
          <w:kern w:val="2"/>
          <w:szCs w:val="21"/>
          <w:lang w:val="en-US" w:eastAsia="zh-CN"/>
        </w:rPr>
      </w:pPr>
      <w:r>
        <w:rPr>
          <w:rFonts w:hint="eastAsia" w:hAnsi="宋体" w:cs="宋体"/>
          <w:kern w:val="2"/>
          <w:szCs w:val="21"/>
          <w:lang w:val="en-US" w:eastAsia="zh-CN"/>
        </w:rPr>
        <w:t>CORBA：公共对象请求代理体系结构（Common Object Request Broker Architecture）</w:t>
      </w:r>
    </w:p>
    <w:p>
      <w:pPr>
        <w:pStyle w:val="30"/>
        <w:spacing w:line="360" w:lineRule="auto"/>
        <w:rPr>
          <w:rFonts w:hint="eastAsia" w:hAnsi="宋体" w:cs="宋体"/>
          <w:kern w:val="2"/>
          <w:szCs w:val="21"/>
          <w:lang w:val="en-US" w:eastAsia="zh-CN"/>
        </w:rPr>
      </w:pPr>
      <w:r>
        <w:rPr>
          <w:rFonts w:hint="eastAsia" w:hAnsi="宋体" w:cs="宋体"/>
          <w:kern w:val="2"/>
          <w:szCs w:val="21"/>
          <w:lang w:val="en-US" w:eastAsia="zh-CN"/>
        </w:rPr>
        <w:t>CPU：中央处理器（Central Processing Unit）</w:t>
      </w:r>
    </w:p>
    <w:p>
      <w:pPr>
        <w:pStyle w:val="30"/>
        <w:spacing w:line="360" w:lineRule="auto"/>
        <w:rPr>
          <w:rFonts w:hint="eastAsia" w:hAnsi="宋体" w:cs="宋体"/>
          <w:kern w:val="2"/>
          <w:szCs w:val="21"/>
          <w:lang w:val="en-US" w:eastAsia="zh-CN"/>
        </w:rPr>
      </w:pPr>
      <w:r>
        <w:rPr>
          <w:rFonts w:hint="eastAsia" w:hAnsi="宋体" w:cs="宋体"/>
          <w:kern w:val="2"/>
          <w:szCs w:val="21"/>
          <w:lang w:val="en-US" w:eastAsia="zh-CN"/>
        </w:rPr>
        <w:t>DOM：文档对象模型（Document Object Model）</w:t>
      </w:r>
    </w:p>
    <w:p>
      <w:pPr>
        <w:pStyle w:val="30"/>
        <w:spacing w:line="360" w:lineRule="auto"/>
        <w:rPr>
          <w:rFonts w:hint="eastAsia" w:hAnsi="宋体" w:cs="宋体"/>
          <w:kern w:val="2"/>
          <w:szCs w:val="21"/>
          <w:lang w:eastAsia="zh-CN"/>
        </w:rPr>
      </w:pPr>
      <w:r>
        <w:rPr>
          <w:rFonts w:hint="eastAsia" w:hAnsi="宋体" w:cs="宋体"/>
          <w:kern w:val="2"/>
          <w:szCs w:val="21"/>
          <w:lang w:val="en-US" w:eastAsia="zh-CN"/>
        </w:rPr>
        <w:t>ETC</w:t>
      </w:r>
      <w:r>
        <w:rPr>
          <w:rFonts w:hint="eastAsia" w:hAnsi="宋体" w:cs="宋体"/>
          <w:kern w:val="2"/>
          <w:szCs w:val="21"/>
          <w:lang w:eastAsia="zh-CN"/>
        </w:rPr>
        <w:t>：</w:t>
      </w:r>
      <w:r>
        <w:rPr>
          <w:rFonts w:hint="eastAsia" w:hAnsi="宋体" w:cs="宋体"/>
          <w:kern w:val="2"/>
          <w:szCs w:val="21"/>
        </w:rPr>
        <w:t>电子不停车收费系统</w:t>
      </w:r>
      <w:r>
        <w:rPr>
          <w:rFonts w:hint="eastAsia" w:hAnsi="宋体" w:cs="宋体"/>
          <w:kern w:val="2"/>
          <w:szCs w:val="21"/>
          <w:lang w:eastAsia="zh-CN"/>
        </w:rPr>
        <w:t>（</w:t>
      </w:r>
      <w:r>
        <w:rPr>
          <w:rFonts w:hint="eastAsia" w:hAnsi="宋体" w:cs="宋体"/>
          <w:kern w:val="2"/>
          <w:szCs w:val="21"/>
        </w:rPr>
        <w:t>Electronic</w:t>
      </w:r>
      <w:r>
        <w:rPr>
          <w:rFonts w:hint="eastAsia" w:hAnsi="宋体" w:cs="宋体"/>
          <w:kern w:val="2"/>
          <w:szCs w:val="21"/>
          <w:lang w:val="en-US" w:eastAsia="zh-CN"/>
        </w:rPr>
        <w:t xml:space="preserve"> </w:t>
      </w:r>
      <w:r>
        <w:rPr>
          <w:rFonts w:hint="eastAsia" w:hAnsi="宋体" w:cs="宋体"/>
          <w:kern w:val="2"/>
          <w:szCs w:val="21"/>
        </w:rPr>
        <w:t>Toll</w:t>
      </w:r>
      <w:r>
        <w:rPr>
          <w:rFonts w:hint="eastAsia" w:hAnsi="宋体" w:cs="宋体"/>
          <w:kern w:val="2"/>
          <w:szCs w:val="21"/>
          <w:lang w:val="en-US" w:eastAsia="zh-CN"/>
        </w:rPr>
        <w:t xml:space="preserve"> </w:t>
      </w:r>
      <w:r>
        <w:rPr>
          <w:rFonts w:hint="eastAsia" w:hAnsi="宋体" w:cs="宋体"/>
          <w:kern w:val="2"/>
          <w:szCs w:val="21"/>
        </w:rPr>
        <w:t>Collection</w:t>
      </w:r>
      <w:r>
        <w:rPr>
          <w:rFonts w:hint="eastAsia" w:hAnsi="宋体" w:cs="宋体"/>
          <w:kern w:val="2"/>
          <w:szCs w:val="21"/>
          <w:lang w:eastAsia="zh-CN"/>
        </w:rPr>
        <w:t>）</w:t>
      </w:r>
    </w:p>
    <w:p>
      <w:pPr>
        <w:pStyle w:val="30"/>
        <w:spacing w:line="360" w:lineRule="auto"/>
        <w:rPr>
          <w:rFonts w:hint="eastAsia" w:hAnsi="宋体" w:cs="宋体"/>
          <w:kern w:val="2"/>
          <w:szCs w:val="21"/>
          <w:lang w:val="en-US" w:eastAsia="zh-CN"/>
        </w:rPr>
      </w:pPr>
      <w:r>
        <w:rPr>
          <w:rFonts w:hint="eastAsia" w:hAnsi="宋体" w:cs="宋体"/>
          <w:kern w:val="2"/>
          <w:szCs w:val="21"/>
        </w:rPr>
        <w:t>HTML</w:t>
      </w:r>
      <w:r>
        <w:rPr>
          <w:rFonts w:hint="eastAsia" w:hAnsi="宋体" w:cs="宋体"/>
          <w:kern w:val="2"/>
          <w:szCs w:val="21"/>
          <w:lang w:eastAsia="zh-CN"/>
        </w:rPr>
        <w:t>：</w:t>
      </w:r>
      <w:r>
        <w:rPr>
          <w:rFonts w:hint="eastAsia" w:hAnsi="宋体" w:cs="宋体"/>
          <w:kern w:val="2"/>
          <w:szCs w:val="21"/>
        </w:rPr>
        <w:t>超文本标记语言</w:t>
      </w:r>
      <w:r>
        <w:rPr>
          <w:rFonts w:hint="eastAsia" w:hAnsi="宋体" w:cs="宋体"/>
          <w:kern w:val="2"/>
          <w:szCs w:val="21"/>
          <w:lang w:eastAsia="zh-CN"/>
        </w:rPr>
        <w:t>（</w:t>
      </w:r>
      <w:r>
        <w:rPr>
          <w:rFonts w:hint="eastAsia" w:hAnsi="宋体" w:cs="宋体"/>
          <w:kern w:val="2"/>
          <w:szCs w:val="21"/>
        </w:rPr>
        <w:t>Hyper</w:t>
      </w:r>
      <w:r>
        <w:rPr>
          <w:rFonts w:hint="eastAsia" w:hAnsi="宋体" w:cs="宋体"/>
          <w:kern w:val="2"/>
          <w:szCs w:val="21"/>
          <w:lang w:val="en-US" w:eastAsia="zh-CN"/>
        </w:rPr>
        <w:t xml:space="preserve"> </w:t>
      </w:r>
      <w:r>
        <w:rPr>
          <w:rFonts w:hint="eastAsia" w:hAnsi="宋体" w:cs="宋体"/>
          <w:kern w:val="2"/>
          <w:szCs w:val="21"/>
        </w:rPr>
        <w:t>Text</w:t>
      </w:r>
      <w:r>
        <w:rPr>
          <w:rFonts w:hint="eastAsia" w:hAnsi="宋体" w:cs="宋体"/>
          <w:kern w:val="2"/>
          <w:szCs w:val="21"/>
          <w:lang w:val="en-US" w:eastAsia="zh-CN"/>
        </w:rPr>
        <w:t xml:space="preserve"> </w:t>
      </w:r>
      <w:r>
        <w:rPr>
          <w:rFonts w:hint="eastAsia" w:hAnsi="宋体" w:cs="宋体"/>
          <w:kern w:val="2"/>
          <w:szCs w:val="21"/>
        </w:rPr>
        <w:t>Markup</w:t>
      </w:r>
      <w:r>
        <w:rPr>
          <w:rFonts w:hint="eastAsia" w:hAnsi="宋体" w:cs="宋体"/>
          <w:kern w:val="2"/>
          <w:szCs w:val="21"/>
          <w:lang w:val="en-US" w:eastAsia="zh-CN"/>
        </w:rPr>
        <w:t xml:space="preserve"> </w:t>
      </w:r>
      <w:r>
        <w:rPr>
          <w:rFonts w:hint="eastAsia" w:hAnsi="宋体" w:cs="宋体"/>
          <w:kern w:val="2"/>
          <w:szCs w:val="21"/>
        </w:rPr>
        <w:t>Language</w:t>
      </w:r>
      <w:r>
        <w:rPr>
          <w:rFonts w:hint="eastAsia" w:hAnsi="宋体" w:cs="宋体"/>
          <w:kern w:val="2"/>
          <w:szCs w:val="21"/>
          <w:lang w:eastAsia="zh-CN"/>
        </w:rPr>
        <w:t>）</w:t>
      </w:r>
    </w:p>
    <w:p>
      <w:pPr>
        <w:pStyle w:val="30"/>
        <w:spacing w:line="360" w:lineRule="auto"/>
        <w:rPr>
          <w:rFonts w:hint="eastAsia" w:hAnsi="宋体" w:cs="宋体"/>
          <w:kern w:val="2"/>
          <w:szCs w:val="21"/>
          <w:lang w:eastAsia="zh-CN"/>
        </w:rPr>
      </w:pPr>
      <w:r>
        <w:rPr>
          <w:rFonts w:hint="eastAsia" w:hAnsi="宋体" w:cs="宋体"/>
          <w:kern w:val="2"/>
          <w:szCs w:val="21"/>
          <w:lang w:val="en-US" w:eastAsia="zh-CN"/>
        </w:rPr>
        <w:t>HTTP</w:t>
      </w:r>
      <w:r>
        <w:rPr>
          <w:rFonts w:hint="eastAsia" w:hAnsi="宋体" w:cs="宋体"/>
          <w:kern w:val="2"/>
          <w:szCs w:val="21"/>
          <w:lang w:eastAsia="zh-CN"/>
        </w:rPr>
        <w:t>：</w:t>
      </w:r>
      <w:r>
        <w:rPr>
          <w:rFonts w:hint="eastAsia" w:hAnsi="宋体" w:cs="宋体"/>
          <w:kern w:val="2"/>
          <w:szCs w:val="21"/>
        </w:rPr>
        <w:t>超文本传输协议</w:t>
      </w:r>
      <w:r>
        <w:rPr>
          <w:rFonts w:hint="eastAsia" w:hAnsi="宋体" w:cs="宋体"/>
          <w:kern w:val="2"/>
          <w:szCs w:val="21"/>
          <w:lang w:eastAsia="zh-CN"/>
        </w:rPr>
        <w:t>（</w:t>
      </w:r>
      <w:r>
        <w:rPr>
          <w:rFonts w:hint="eastAsia" w:hAnsi="宋体" w:cs="宋体"/>
          <w:kern w:val="2"/>
          <w:szCs w:val="21"/>
        </w:rPr>
        <w:t>Hypertext</w:t>
      </w:r>
      <w:r>
        <w:rPr>
          <w:rFonts w:hint="eastAsia" w:hAnsi="宋体" w:cs="宋体"/>
          <w:kern w:val="2"/>
          <w:szCs w:val="21"/>
          <w:lang w:val="en-US" w:eastAsia="zh-CN"/>
        </w:rPr>
        <w:t xml:space="preserve"> </w:t>
      </w:r>
      <w:r>
        <w:rPr>
          <w:rFonts w:hint="eastAsia" w:hAnsi="宋体" w:cs="宋体"/>
          <w:kern w:val="2"/>
          <w:szCs w:val="21"/>
        </w:rPr>
        <w:t>Transfer</w:t>
      </w:r>
      <w:r>
        <w:rPr>
          <w:rFonts w:hint="eastAsia" w:hAnsi="宋体" w:cs="宋体"/>
          <w:kern w:val="2"/>
          <w:szCs w:val="21"/>
          <w:lang w:val="en-US" w:eastAsia="zh-CN"/>
        </w:rPr>
        <w:t xml:space="preserve"> </w:t>
      </w:r>
      <w:r>
        <w:rPr>
          <w:rFonts w:hint="eastAsia" w:hAnsi="宋体" w:cs="宋体"/>
          <w:kern w:val="2"/>
          <w:szCs w:val="21"/>
        </w:rPr>
        <w:t>Protocol</w:t>
      </w:r>
      <w:r>
        <w:rPr>
          <w:rFonts w:hint="eastAsia" w:hAnsi="宋体" w:cs="宋体"/>
          <w:kern w:val="2"/>
          <w:szCs w:val="21"/>
          <w:lang w:eastAsia="zh-CN"/>
        </w:rPr>
        <w:t>）</w:t>
      </w:r>
    </w:p>
    <w:p>
      <w:pPr>
        <w:pStyle w:val="30"/>
        <w:spacing w:line="360" w:lineRule="auto"/>
        <w:rPr>
          <w:rFonts w:hint="default" w:hAnsi="宋体" w:cs="宋体"/>
          <w:kern w:val="2"/>
          <w:szCs w:val="21"/>
          <w:lang w:val="en-US" w:eastAsia="zh-CN"/>
        </w:rPr>
      </w:pPr>
      <w:r>
        <w:rPr>
          <w:rFonts w:hint="eastAsia" w:hAnsi="宋体" w:cs="宋体"/>
          <w:kern w:val="2"/>
          <w:szCs w:val="21"/>
          <w:lang w:val="en-US" w:eastAsia="zh-CN"/>
        </w:rPr>
        <w:t>ID：身份标识号（Identity Document）</w:t>
      </w:r>
    </w:p>
    <w:p>
      <w:pPr>
        <w:pStyle w:val="30"/>
        <w:spacing w:line="360" w:lineRule="auto"/>
        <w:rPr>
          <w:rFonts w:hint="eastAsia" w:hAnsi="宋体" w:cs="宋体"/>
          <w:kern w:val="2"/>
          <w:szCs w:val="21"/>
          <w:lang w:val="en-US" w:eastAsia="zh-CN"/>
        </w:rPr>
      </w:pPr>
      <w:r>
        <w:rPr>
          <w:rFonts w:hint="eastAsia" w:hAnsi="宋体" w:cs="宋体"/>
          <w:kern w:val="2"/>
          <w:szCs w:val="21"/>
          <w:lang w:val="en-US" w:eastAsia="zh-CN"/>
        </w:rPr>
        <w:t>IP：网际互连协议（Internet Protocol）</w:t>
      </w:r>
    </w:p>
    <w:p>
      <w:pPr>
        <w:pStyle w:val="30"/>
        <w:spacing w:line="360" w:lineRule="auto"/>
        <w:rPr>
          <w:rFonts w:hint="eastAsia" w:hAnsi="宋体" w:cs="宋体"/>
          <w:kern w:val="2"/>
          <w:szCs w:val="21"/>
          <w:lang w:val="en-US" w:eastAsia="zh-CN"/>
        </w:rPr>
      </w:pPr>
      <w:r>
        <w:rPr>
          <w:rFonts w:hint="eastAsia" w:hAnsi="宋体" w:cs="宋体"/>
          <w:kern w:val="2"/>
          <w:szCs w:val="21"/>
          <w:lang w:val="en-US" w:eastAsia="zh-CN"/>
        </w:rPr>
        <w:t>MQTT</w:t>
      </w:r>
      <w:r>
        <w:rPr>
          <w:rFonts w:hint="eastAsia" w:hAnsi="宋体" w:cs="宋体"/>
          <w:kern w:val="2"/>
          <w:szCs w:val="21"/>
          <w:lang w:eastAsia="zh-CN"/>
        </w:rPr>
        <w:t>：</w:t>
      </w:r>
      <w:r>
        <w:rPr>
          <w:rFonts w:hint="eastAsia" w:hAnsi="宋体" w:cs="宋体"/>
          <w:kern w:val="2"/>
          <w:szCs w:val="21"/>
        </w:rPr>
        <w:t>消息队列遥测传输</w:t>
      </w:r>
      <w:r>
        <w:rPr>
          <w:rFonts w:hint="eastAsia" w:hAnsi="宋体" w:cs="宋体"/>
          <w:kern w:val="2"/>
          <w:szCs w:val="21"/>
          <w:lang w:eastAsia="zh-CN"/>
        </w:rPr>
        <w:t>（</w:t>
      </w:r>
      <w:r>
        <w:rPr>
          <w:rFonts w:hint="eastAsia" w:hAnsi="宋体" w:cs="宋体"/>
          <w:kern w:val="2"/>
          <w:szCs w:val="21"/>
        </w:rPr>
        <w:t>Message</w:t>
      </w:r>
      <w:r>
        <w:rPr>
          <w:rFonts w:hint="eastAsia" w:hAnsi="宋体" w:cs="宋体"/>
          <w:kern w:val="2"/>
          <w:szCs w:val="21"/>
          <w:lang w:val="en-US" w:eastAsia="zh-CN"/>
        </w:rPr>
        <w:t xml:space="preserve"> </w:t>
      </w:r>
      <w:r>
        <w:rPr>
          <w:rFonts w:hint="eastAsia" w:hAnsi="宋体" w:cs="宋体"/>
          <w:kern w:val="2"/>
          <w:szCs w:val="21"/>
        </w:rPr>
        <w:t>Queuing</w:t>
      </w:r>
      <w:r>
        <w:rPr>
          <w:rFonts w:hint="eastAsia" w:hAnsi="宋体" w:cs="宋体"/>
          <w:kern w:val="2"/>
          <w:szCs w:val="21"/>
          <w:lang w:val="en-US" w:eastAsia="zh-CN"/>
        </w:rPr>
        <w:t xml:space="preserve"> </w:t>
      </w:r>
      <w:r>
        <w:rPr>
          <w:rFonts w:hint="eastAsia" w:hAnsi="宋体" w:cs="宋体"/>
          <w:kern w:val="2"/>
          <w:szCs w:val="21"/>
        </w:rPr>
        <w:t>Telemetry</w:t>
      </w:r>
      <w:r>
        <w:rPr>
          <w:rFonts w:hint="eastAsia" w:hAnsi="宋体" w:cs="宋体"/>
          <w:kern w:val="2"/>
          <w:szCs w:val="21"/>
          <w:lang w:val="en-US" w:eastAsia="zh-CN"/>
        </w:rPr>
        <w:t xml:space="preserve"> </w:t>
      </w:r>
      <w:r>
        <w:rPr>
          <w:rFonts w:hint="eastAsia" w:hAnsi="宋体" w:cs="宋体"/>
          <w:kern w:val="2"/>
          <w:szCs w:val="21"/>
        </w:rPr>
        <w:t>Transpor</w:t>
      </w:r>
      <w:r>
        <w:rPr>
          <w:rFonts w:hint="eastAsia" w:hAnsi="宋体" w:cs="宋体"/>
          <w:kern w:val="2"/>
          <w:szCs w:val="21"/>
          <w:lang w:val="en-US" w:eastAsia="zh-CN"/>
        </w:rPr>
        <w:t>t</w:t>
      </w:r>
      <w:r>
        <w:rPr>
          <w:rFonts w:hint="eastAsia" w:hAnsi="宋体" w:cs="宋体"/>
          <w:kern w:val="2"/>
          <w:szCs w:val="21"/>
          <w:lang w:eastAsia="zh-CN"/>
        </w:rPr>
        <w:t>）</w:t>
      </w:r>
    </w:p>
    <w:p>
      <w:pPr>
        <w:pStyle w:val="30"/>
        <w:spacing w:line="360" w:lineRule="auto"/>
        <w:rPr>
          <w:rFonts w:hint="eastAsia" w:hAnsi="宋体" w:cs="宋体"/>
          <w:kern w:val="2"/>
          <w:szCs w:val="21"/>
          <w:lang w:val="en-US" w:eastAsia="zh-CN"/>
        </w:rPr>
      </w:pPr>
      <w:r>
        <w:rPr>
          <w:rFonts w:hint="eastAsia" w:hAnsi="宋体" w:cs="宋体"/>
          <w:kern w:val="2"/>
          <w:szCs w:val="21"/>
          <w:lang w:val="en-US" w:eastAsia="zh-CN"/>
        </w:rPr>
        <w:t>NFV：网络功能虚拟化（Network Functions Virtualization）</w:t>
      </w:r>
    </w:p>
    <w:p>
      <w:pPr>
        <w:pStyle w:val="30"/>
        <w:spacing w:line="360" w:lineRule="auto"/>
        <w:rPr>
          <w:rFonts w:hint="eastAsia" w:hAnsi="宋体" w:cs="宋体"/>
          <w:kern w:val="2"/>
          <w:szCs w:val="21"/>
          <w:lang w:val="en-US" w:eastAsia="zh-CN"/>
        </w:rPr>
      </w:pPr>
      <w:r>
        <w:rPr>
          <w:rFonts w:hint="eastAsia" w:hAnsi="宋体" w:cs="宋体"/>
          <w:kern w:val="2"/>
          <w:szCs w:val="21"/>
          <w:lang w:val="en-US" w:eastAsia="zh-CN"/>
        </w:rPr>
        <w:t>NV：非易失闪存技术（Non Volatile Memory）</w:t>
      </w:r>
    </w:p>
    <w:p>
      <w:pPr>
        <w:pStyle w:val="30"/>
        <w:spacing w:line="360" w:lineRule="auto"/>
        <w:rPr>
          <w:rFonts w:hint="eastAsia" w:hAnsi="宋体" w:cs="宋体"/>
          <w:kern w:val="2"/>
          <w:szCs w:val="21"/>
          <w:lang w:val="en-US" w:eastAsia="zh-CN"/>
        </w:rPr>
      </w:pPr>
      <w:r>
        <w:rPr>
          <w:rFonts w:hint="eastAsia" w:hAnsi="宋体" w:cs="宋体"/>
          <w:kern w:val="2"/>
          <w:szCs w:val="21"/>
          <w:lang w:val="en-US" w:eastAsia="zh-CN"/>
        </w:rPr>
        <w:t>OBU：车载单元（Onboard Unit）</w:t>
      </w:r>
    </w:p>
    <w:p>
      <w:pPr>
        <w:pStyle w:val="30"/>
        <w:spacing w:line="360" w:lineRule="auto"/>
        <w:rPr>
          <w:rFonts w:hint="eastAsia" w:hAnsi="宋体" w:cs="宋体"/>
          <w:kern w:val="2"/>
          <w:szCs w:val="21"/>
          <w:highlight w:val="none"/>
          <w:lang w:val="en-US" w:eastAsia="zh-CN"/>
        </w:rPr>
      </w:pPr>
      <w:r>
        <w:rPr>
          <w:rFonts w:hint="eastAsia" w:hAnsi="宋体" w:cs="宋体"/>
          <w:kern w:val="2"/>
          <w:szCs w:val="21"/>
          <w:lang w:val="en-US" w:eastAsia="zh-CN"/>
        </w:rPr>
        <w:t xml:space="preserve">PSAM: </w:t>
      </w:r>
      <w:r>
        <w:rPr>
          <w:rFonts w:hint="eastAsia" w:hAnsi="宋体" w:cs="宋体"/>
          <w:kern w:val="2"/>
          <w:szCs w:val="21"/>
          <w:highlight w:val="none"/>
        </w:rPr>
        <w:t>销售点终端安全存取模块</w:t>
      </w:r>
      <w:r>
        <w:rPr>
          <w:rFonts w:hint="eastAsia" w:hAnsi="宋体" w:cs="宋体"/>
          <w:kern w:val="2"/>
          <w:szCs w:val="21"/>
          <w:highlight w:val="none"/>
          <w:lang w:val="en-US" w:eastAsia="zh-CN"/>
        </w:rPr>
        <w:t>(</w:t>
      </w:r>
      <w:r>
        <w:rPr>
          <w:rFonts w:hint="eastAsia" w:hAnsi="宋体" w:cs="宋体"/>
          <w:kern w:val="2"/>
          <w:szCs w:val="21"/>
          <w:highlight w:val="none"/>
        </w:rPr>
        <w:t>Purchase Secure Access Module</w:t>
      </w:r>
      <w:r>
        <w:rPr>
          <w:rFonts w:hint="eastAsia" w:hAnsi="宋体" w:cs="宋体"/>
          <w:kern w:val="2"/>
          <w:szCs w:val="21"/>
          <w:highlight w:val="none"/>
          <w:lang w:val="en-US" w:eastAsia="zh-CN"/>
        </w:rPr>
        <w:t>)</w:t>
      </w:r>
    </w:p>
    <w:p>
      <w:pPr>
        <w:pStyle w:val="30"/>
        <w:spacing w:line="360" w:lineRule="auto"/>
        <w:rPr>
          <w:rFonts w:hint="eastAsia" w:hAnsi="宋体" w:cs="宋体"/>
          <w:kern w:val="2"/>
          <w:szCs w:val="21"/>
          <w:lang w:val="en-US" w:eastAsia="zh-CN"/>
        </w:rPr>
      </w:pPr>
      <w:r>
        <w:rPr>
          <w:rFonts w:hint="eastAsia" w:hAnsi="宋体" w:cs="宋体"/>
          <w:kern w:val="2"/>
          <w:szCs w:val="21"/>
          <w:lang w:val="en-US" w:eastAsia="zh-CN"/>
        </w:rPr>
        <w:t>SDN：软件定义网络（Software Defined Network）</w:t>
      </w:r>
    </w:p>
    <w:p>
      <w:pPr>
        <w:pStyle w:val="30"/>
        <w:spacing w:line="360" w:lineRule="auto"/>
        <w:rPr>
          <w:rFonts w:hint="eastAsia" w:hAnsi="宋体" w:cs="宋体"/>
          <w:kern w:val="2"/>
          <w:szCs w:val="21"/>
          <w:lang w:val="en-US" w:eastAsia="zh-CN"/>
        </w:rPr>
      </w:pPr>
      <w:r>
        <w:rPr>
          <w:rFonts w:hint="eastAsia" w:hAnsi="宋体" w:cs="宋体"/>
          <w:kern w:val="2"/>
          <w:szCs w:val="21"/>
          <w:lang w:val="en-US" w:eastAsia="zh-CN"/>
        </w:rPr>
        <w:t>SOA：面向服务的架构（Service Oriented Architecture）</w:t>
      </w:r>
    </w:p>
    <w:p>
      <w:pPr>
        <w:pStyle w:val="30"/>
        <w:spacing w:line="360" w:lineRule="auto"/>
        <w:rPr>
          <w:rFonts w:hint="eastAsia" w:hAnsi="宋体" w:cs="宋体"/>
          <w:kern w:val="2"/>
          <w:szCs w:val="21"/>
          <w:lang w:val="en-US" w:eastAsia="zh-CN"/>
        </w:rPr>
      </w:pPr>
      <w:r>
        <w:rPr>
          <w:rFonts w:hint="eastAsia" w:hAnsi="宋体" w:cs="宋体"/>
          <w:kern w:val="2"/>
          <w:szCs w:val="21"/>
          <w:lang w:val="en-US" w:eastAsia="zh-CN"/>
        </w:rPr>
        <w:t>SQL</w:t>
      </w:r>
      <w:r>
        <w:rPr>
          <w:rFonts w:hint="eastAsia" w:hAnsi="宋体" w:cs="宋体"/>
          <w:kern w:val="2"/>
          <w:szCs w:val="21"/>
          <w:lang w:eastAsia="zh-CN"/>
        </w:rPr>
        <w:t>：</w:t>
      </w:r>
      <w:r>
        <w:rPr>
          <w:rFonts w:hint="eastAsia" w:hAnsi="宋体" w:cs="宋体"/>
          <w:kern w:val="2"/>
          <w:szCs w:val="21"/>
        </w:rPr>
        <w:t>结构化查询语言</w:t>
      </w:r>
      <w:r>
        <w:rPr>
          <w:rFonts w:hint="eastAsia" w:hAnsi="宋体" w:cs="宋体"/>
          <w:kern w:val="2"/>
          <w:szCs w:val="21"/>
          <w:lang w:eastAsia="zh-CN"/>
        </w:rPr>
        <w:t>（</w:t>
      </w:r>
      <w:r>
        <w:rPr>
          <w:rFonts w:hint="eastAsia" w:hAnsi="宋体" w:cs="宋体"/>
          <w:kern w:val="2"/>
          <w:szCs w:val="21"/>
        </w:rPr>
        <w:t>Structured</w:t>
      </w:r>
      <w:r>
        <w:rPr>
          <w:rFonts w:hint="eastAsia" w:hAnsi="宋体" w:cs="宋体"/>
          <w:kern w:val="2"/>
          <w:szCs w:val="21"/>
          <w:lang w:val="en-US" w:eastAsia="zh-CN"/>
        </w:rPr>
        <w:t xml:space="preserve"> </w:t>
      </w:r>
      <w:r>
        <w:rPr>
          <w:rFonts w:hint="eastAsia" w:hAnsi="宋体" w:cs="宋体"/>
          <w:kern w:val="2"/>
          <w:szCs w:val="21"/>
        </w:rPr>
        <w:t>Query</w:t>
      </w:r>
      <w:r>
        <w:rPr>
          <w:rFonts w:hint="eastAsia" w:hAnsi="宋体" w:cs="宋体"/>
          <w:kern w:val="2"/>
          <w:szCs w:val="21"/>
          <w:lang w:val="en-US" w:eastAsia="zh-CN"/>
        </w:rPr>
        <w:t xml:space="preserve"> </w:t>
      </w:r>
      <w:r>
        <w:rPr>
          <w:rFonts w:hint="eastAsia" w:hAnsi="宋体" w:cs="宋体"/>
          <w:kern w:val="2"/>
          <w:szCs w:val="21"/>
        </w:rPr>
        <w:t>Language</w:t>
      </w:r>
      <w:r>
        <w:rPr>
          <w:rFonts w:hint="eastAsia" w:hAnsi="宋体" w:cs="宋体"/>
          <w:kern w:val="2"/>
          <w:szCs w:val="21"/>
          <w:lang w:eastAsia="zh-CN"/>
        </w:rPr>
        <w:t>）</w:t>
      </w:r>
    </w:p>
    <w:p>
      <w:pPr>
        <w:pStyle w:val="30"/>
        <w:spacing w:line="360" w:lineRule="auto"/>
        <w:rPr>
          <w:rFonts w:hint="eastAsia" w:hAnsi="宋体" w:cs="宋体"/>
          <w:kern w:val="2"/>
          <w:szCs w:val="21"/>
          <w:lang w:val="en-US" w:eastAsia="zh-CN"/>
        </w:rPr>
      </w:pPr>
      <w:r>
        <w:rPr>
          <w:rFonts w:hint="eastAsia" w:hAnsi="宋体" w:cs="宋体"/>
          <w:kern w:val="2"/>
          <w:szCs w:val="21"/>
          <w:lang w:val="en-US" w:eastAsia="zh-CN"/>
        </w:rPr>
        <w:t>SVG：可缩放矢量图形（Scalable Vector Graphics）</w:t>
      </w:r>
    </w:p>
    <w:p>
      <w:pPr>
        <w:pStyle w:val="30"/>
        <w:spacing w:line="360" w:lineRule="auto"/>
        <w:rPr>
          <w:rFonts w:hint="eastAsia" w:hAnsi="宋体" w:cs="宋体"/>
          <w:kern w:val="2"/>
          <w:szCs w:val="21"/>
          <w:lang w:val="en-US" w:eastAsia="zh-CN"/>
        </w:rPr>
      </w:pPr>
      <w:r>
        <w:rPr>
          <w:rFonts w:hint="eastAsia" w:hAnsi="宋体" w:cs="宋体"/>
          <w:kern w:val="2"/>
          <w:szCs w:val="21"/>
          <w:lang w:val="en-US" w:eastAsia="zh-CN"/>
        </w:rPr>
        <w:t>TCP</w:t>
      </w:r>
      <w:r>
        <w:rPr>
          <w:rFonts w:hint="eastAsia" w:hAnsi="宋体" w:cs="宋体"/>
          <w:kern w:val="2"/>
          <w:szCs w:val="21"/>
          <w:lang w:eastAsia="zh-CN"/>
        </w:rPr>
        <w:t>：</w:t>
      </w:r>
      <w:r>
        <w:rPr>
          <w:rFonts w:hint="eastAsia" w:hAnsi="宋体" w:cs="宋体"/>
          <w:kern w:val="2"/>
          <w:szCs w:val="21"/>
        </w:rPr>
        <w:t>传输控制协议</w:t>
      </w:r>
      <w:r>
        <w:rPr>
          <w:rFonts w:hint="eastAsia" w:hAnsi="宋体" w:cs="宋体"/>
          <w:kern w:val="2"/>
          <w:szCs w:val="21"/>
          <w:lang w:eastAsia="zh-CN"/>
        </w:rPr>
        <w:t>（</w:t>
      </w:r>
      <w:r>
        <w:rPr>
          <w:rFonts w:hint="eastAsia" w:hAnsi="宋体" w:cs="宋体"/>
          <w:kern w:val="2"/>
          <w:szCs w:val="21"/>
        </w:rPr>
        <w:t>Transmission</w:t>
      </w:r>
      <w:r>
        <w:rPr>
          <w:rFonts w:hint="eastAsia" w:hAnsi="宋体" w:cs="宋体"/>
          <w:kern w:val="2"/>
          <w:szCs w:val="21"/>
          <w:lang w:val="en-US" w:eastAsia="zh-CN"/>
        </w:rPr>
        <w:t xml:space="preserve"> </w:t>
      </w:r>
      <w:r>
        <w:rPr>
          <w:rFonts w:hint="eastAsia" w:hAnsi="宋体" w:cs="宋体"/>
          <w:kern w:val="2"/>
          <w:szCs w:val="21"/>
        </w:rPr>
        <w:t>Control</w:t>
      </w:r>
      <w:r>
        <w:rPr>
          <w:rFonts w:hint="eastAsia" w:hAnsi="宋体" w:cs="宋体"/>
          <w:kern w:val="2"/>
          <w:szCs w:val="21"/>
          <w:lang w:val="en-US" w:eastAsia="zh-CN"/>
        </w:rPr>
        <w:t xml:space="preserve"> </w:t>
      </w:r>
      <w:r>
        <w:rPr>
          <w:rFonts w:hint="eastAsia" w:hAnsi="宋体" w:cs="宋体"/>
          <w:kern w:val="2"/>
          <w:szCs w:val="21"/>
        </w:rPr>
        <w:t>Protocol</w:t>
      </w:r>
      <w:r>
        <w:rPr>
          <w:rFonts w:hint="eastAsia" w:hAnsi="宋体" w:cs="宋体"/>
          <w:kern w:val="2"/>
          <w:szCs w:val="21"/>
          <w:lang w:eastAsia="zh-CN"/>
        </w:rPr>
        <w:t>）</w:t>
      </w:r>
    </w:p>
    <w:p>
      <w:pPr>
        <w:pStyle w:val="32"/>
        <w:spacing w:before="312" w:after="312" w:line="360" w:lineRule="auto"/>
        <w:rPr>
          <w:rFonts w:hint="eastAsia"/>
        </w:rPr>
      </w:pPr>
      <w:bookmarkStart w:id="90" w:name="_Toc31538"/>
      <w:r>
        <w:rPr>
          <w:rFonts w:hint="eastAsia"/>
          <w:lang w:val="en-US" w:eastAsia="zh-CN"/>
        </w:rPr>
        <w:t>系统架构参考</w:t>
      </w:r>
      <w:bookmarkEnd w:id="90"/>
    </w:p>
    <w:p>
      <w:pPr>
        <w:pStyle w:val="33"/>
        <w:spacing w:before="156" w:after="156" w:line="360" w:lineRule="auto"/>
        <w:rPr>
          <w:rFonts w:hint="eastAsia"/>
          <w:szCs w:val="24"/>
        </w:rPr>
      </w:pPr>
      <w:bookmarkStart w:id="91" w:name="_Toc8206"/>
      <w:r>
        <w:rPr>
          <w:rFonts w:hint="eastAsia"/>
          <w:szCs w:val="24"/>
        </w:rPr>
        <w:t>整体架构设计</w:t>
      </w:r>
      <w:bookmarkEnd w:id="91"/>
    </w:p>
    <w:p>
      <w:pPr>
        <w:pStyle w:val="30"/>
        <w:spacing w:line="360" w:lineRule="auto"/>
      </w:pPr>
      <w:r>
        <w:rPr>
          <w:rFonts w:hint="eastAsia"/>
          <w:szCs w:val="24"/>
          <w:lang w:val="en-US" w:eastAsia="zh-CN"/>
        </w:rPr>
        <w:t>停车场接入服务平台的</w:t>
      </w:r>
      <w:r>
        <w:rPr>
          <w:rFonts w:hint="eastAsia"/>
          <w:szCs w:val="24"/>
        </w:rPr>
        <w:t>系统整体架构</w:t>
      </w:r>
      <w:r>
        <w:rPr>
          <w:rFonts w:hint="eastAsia"/>
          <w:szCs w:val="24"/>
          <w:lang w:val="en-US" w:eastAsia="zh-CN"/>
        </w:rPr>
        <w:t>设计</w:t>
      </w:r>
      <w:r>
        <w:rPr>
          <w:rFonts w:hint="eastAsia"/>
          <w:szCs w:val="24"/>
        </w:rPr>
        <w:t>既要充分考虑当前接入</w:t>
      </w:r>
      <w:r>
        <w:rPr>
          <w:rFonts w:hint="eastAsia"/>
          <w:szCs w:val="24"/>
          <w:lang w:eastAsia="zh-CN"/>
        </w:rPr>
        <w:t>停车场（库）信息管理系统</w:t>
      </w:r>
      <w:r>
        <w:rPr>
          <w:rFonts w:hint="eastAsia"/>
          <w:szCs w:val="24"/>
        </w:rPr>
        <w:t>的需求，又要全面考虑基于该平台业务扩展的技术需求。整体架构应采用分层设计模式，清晰划分系统各子层次或系统职责</w:t>
      </w:r>
      <w:r>
        <w:rPr>
          <w:rFonts w:hint="eastAsia"/>
          <w:szCs w:val="24"/>
          <w:lang w:eastAsia="zh-CN"/>
        </w:rPr>
        <w:t>，</w:t>
      </w:r>
      <w:r>
        <w:rPr>
          <w:rFonts w:hint="eastAsia"/>
          <w:szCs w:val="24"/>
        </w:rPr>
        <w:t>在接口不变的情况下低成本变更内部实现</w:t>
      </w:r>
      <w:r>
        <w:rPr>
          <w:rFonts w:hint="eastAsia"/>
          <w:szCs w:val="24"/>
          <w:lang w:eastAsia="zh-CN"/>
        </w:rPr>
        <w:t>，</w:t>
      </w:r>
      <w:r>
        <w:rPr>
          <w:rFonts w:hint="eastAsia"/>
          <w:szCs w:val="24"/>
        </w:rPr>
        <w:t>利用标准化设计与实施</w:t>
      </w:r>
      <w:r>
        <w:rPr>
          <w:rFonts w:hint="eastAsia"/>
          <w:szCs w:val="24"/>
          <w:lang w:val="en-US" w:eastAsia="zh-CN"/>
        </w:rPr>
        <w:t>及</w:t>
      </w:r>
      <w:r>
        <w:rPr>
          <w:rFonts w:hint="eastAsia"/>
          <w:szCs w:val="24"/>
        </w:rPr>
        <w:t>最小化系统之间的耦合度。</w:t>
      </w:r>
    </w:p>
    <w:p>
      <w:pPr>
        <w:pStyle w:val="30"/>
        <w:spacing w:line="360" w:lineRule="auto"/>
      </w:pPr>
      <w:r>
        <w:rPr>
          <w:rFonts w:hint="eastAsia"/>
          <w:szCs w:val="24"/>
        </w:rPr>
        <w:t>考虑到辽宁ETC</w:t>
      </w:r>
      <w:r>
        <w:rPr>
          <w:rFonts w:hint="eastAsia"/>
          <w:szCs w:val="24"/>
          <w:lang w:val="en-US" w:eastAsia="zh-CN"/>
        </w:rPr>
        <w:t>智慧</w:t>
      </w:r>
      <w:r>
        <w:rPr>
          <w:rFonts w:hint="eastAsia"/>
          <w:szCs w:val="24"/>
        </w:rPr>
        <w:t>停车场业务发展现状与未来业务拓展需求，系统整体构成应划分为数据平台、应用平台</w:t>
      </w:r>
      <w:r>
        <w:rPr>
          <w:rFonts w:hint="eastAsia"/>
          <w:szCs w:val="24"/>
          <w:lang w:val="en-US" w:eastAsia="zh-CN"/>
        </w:rPr>
        <w:t>和</w:t>
      </w:r>
      <w:r>
        <w:rPr>
          <w:rFonts w:hint="eastAsia"/>
          <w:szCs w:val="24"/>
        </w:rPr>
        <w:t>管理平台三部</w:t>
      </w:r>
      <w:r>
        <w:rPr>
          <w:rFonts w:hint="eastAsia"/>
          <w:szCs w:val="24"/>
          <w:lang w:val="en-US" w:eastAsia="zh-CN"/>
        </w:rPr>
        <w:t>分</w:t>
      </w:r>
      <w:r>
        <w:rPr>
          <w:rFonts w:hint="eastAsia"/>
          <w:szCs w:val="24"/>
        </w:rPr>
        <w:t>，实现整体系统标准化与规范化及系统稳定运行，整体架构参考设计如图</w:t>
      </w:r>
      <w:r>
        <w:rPr>
          <w:rFonts w:hint="eastAsia"/>
          <w:szCs w:val="24"/>
          <w:lang w:val="en-US" w:eastAsia="zh-CN"/>
        </w:rPr>
        <w:t>1</w:t>
      </w:r>
      <w:r>
        <w:rPr>
          <w:rFonts w:hint="eastAsia"/>
          <w:szCs w:val="24"/>
        </w:rPr>
        <w:t>所示。</w:t>
      </w:r>
    </w:p>
    <w:p>
      <w:pPr>
        <w:numPr>
          <w:ilvl w:val="0"/>
          <w:numId w:val="0"/>
        </w:numPr>
        <w:spacing w:line="360" w:lineRule="auto"/>
        <w:ind w:left="840" w:firstLine="0"/>
        <w:rPr>
          <w:rFonts w:hint="eastAsia"/>
          <w:szCs w:val="24"/>
        </w:rPr>
      </w:pPr>
      <w:r>
        <w:drawing>
          <wp:inline distT="0" distB="0" distL="114300" distR="114300">
            <wp:extent cx="5438775" cy="3059430"/>
            <wp:effectExtent l="0" t="0" r="1905" b="3810"/>
            <wp:docPr id="17" name="图片 3" descr="辽宁高速ETC收费停车场信息服务架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descr="辽宁高速ETC收费停车场信息服务架构"/>
                    <pic:cNvPicPr>
                      <a:picLocks noChangeAspect="1"/>
                    </pic:cNvPicPr>
                  </pic:nvPicPr>
                  <pic:blipFill>
                    <a:blip r:embed="rId15"/>
                    <a:stretch>
                      <a:fillRect/>
                    </a:stretch>
                  </pic:blipFill>
                  <pic:spPr>
                    <a:xfrm>
                      <a:off x="0" y="0"/>
                      <a:ext cx="5438775" cy="3059430"/>
                    </a:xfrm>
                    <a:prstGeom prst="rect">
                      <a:avLst/>
                    </a:prstGeom>
                    <a:noFill/>
                    <a:ln>
                      <a:noFill/>
                    </a:ln>
                  </pic:spPr>
                </pic:pic>
              </a:graphicData>
            </a:graphic>
          </wp:inline>
        </w:drawing>
      </w:r>
    </w:p>
    <w:p>
      <w:pPr>
        <w:spacing w:after="312" w:afterLines="100" w:line="360" w:lineRule="auto"/>
        <w:ind w:firstLine="482"/>
        <w:jc w:val="center"/>
        <w:rPr>
          <w:rFonts w:hint="eastAsia" w:ascii="黑体" w:hAnsi="黑体" w:eastAsia="黑体" w:cs="黑体"/>
          <w:sz w:val="21"/>
          <w:szCs w:val="21"/>
        </w:rPr>
      </w:pPr>
      <w:r>
        <w:rPr>
          <w:rFonts w:hint="eastAsia" w:ascii="黑体" w:hAnsi="黑体" w:eastAsia="黑体" w:cs="黑体"/>
          <w:sz w:val="21"/>
          <w:szCs w:val="21"/>
        </w:rPr>
        <w:t>图</w:t>
      </w:r>
      <w:r>
        <w:rPr>
          <w:rFonts w:hint="eastAsia" w:ascii="黑体" w:hAnsi="黑体" w:eastAsia="黑体" w:cs="黑体"/>
          <w:sz w:val="21"/>
          <w:szCs w:val="21"/>
          <w:lang w:val="en-US" w:eastAsia="zh-CN"/>
        </w:rPr>
        <w:t>1　</w:t>
      </w:r>
      <w:r>
        <w:rPr>
          <w:rFonts w:hint="eastAsia" w:ascii="黑体" w:hAnsi="黑体" w:eastAsia="黑体" w:cs="黑体"/>
          <w:sz w:val="21"/>
          <w:szCs w:val="21"/>
        </w:rPr>
        <w:t>整体架构图</w:t>
      </w:r>
    </w:p>
    <w:p>
      <w:pPr>
        <w:pStyle w:val="33"/>
        <w:spacing w:before="156" w:after="156" w:line="360" w:lineRule="auto"/>
        <w:rPr>
          <w:rFonts w:hint="eastAsia"/>
          <w:szCs w:val="24"/>
        </w:rPr>
      </w:pPr>
      <w:bookmarkStart w:id="92" w:name="_Toc5202"/>
      <w:r>
        <w:rPr>
          <w:rFonts w:hint="eastAsia"/>
          <w:szCs w:val="24"/>
        </w:rPr>
        <w:t>数据平台</w:t>
      </w:r>
      <w:bookmarkEnd w:id="92"/>
    </w:p>
    <w:p>
      <w:pPr>
        <w:pStyle w:val="30"/>
        <w:spacing w:line="360" w:lineRule="auto"/>
      </w:pPr>
      <w:r>
        <w:rPr>
          <w:rFonts w:hint="eastAsia"/>
          <w:szCs w:val="24"/>
        </w:rPr>
        <w:t>数据平台是实现对</w:t>
      </w:r>
      <w:r>
        <w:rPr>
          <w:rFonts w:hint="eastAsia"/>
          <w:szCs w:val="24"/>
          <w:lang w:eastAsia="zh-CN"/>
        </w:rPr>
        <w:t>停车场（库）信息管理系统</w:t>
      </w:r>
      <w:r>
        <w:rPr>
          <w:rFonts w:hint="eastAsia"/>
          <w:szCs w:val="24"/>
        </w:rPr>
        <w:t>数据接入与存储的管理，以及面向业务应用场景提供的数据分析、技术组件与开发环境的必要能力支撑。数据平台应采用分层设计模式，各层职责应满足如下要求：</w:t>
      </w:r>
    </w:p>
    <w:p>
      <w:pPr>
        <w:pStyle w:val="30"/>
        <w:keepNext w:val="0"/>
        <w:keepLines w:val="0"/>
        <w:pageBreakBefore w:val="0"/>
        <w:widowControl/>
        <w:numPr>
          <w:ilvl w:val="0"/>
          <w:numId w:val="2"/>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Times New Roman" w:eastAsia="宋体" w:cs="Times New Roman"/>
          <w:kern w:val="0"/>
          <w:sz w:val="21"/>
          <w:szCs w:val="24"/>
          <w:lang w:val="en-US" w:eastAsia="zh-CN" w:bidi="ar-SA"/>
        </w:rPr>
      </w:pPr>
      <w:r>
        <w:rPr>
          <w:rFonts w:hint="eastAsia"/>
          <w:szCs w:val="22"/>
          <w:lang w:val="en-US" w:eastAsia="zh-CN"/>
        </w:rPr>
        <w:t>数据接入：</w:t>
      </w:r>
      <w:r>
        <w:rPr>
          <w:rFonts w:hint="eastAsia" w:ascii="宋体" w:hAnsi="Times New Roman" w:eastAsia="宋体" w:cs="Times New Roman"/>
          <w:kern w:val="0"/>
          <w:sz w:val="21"/>
          <w:szCs w:val="24"/>
          <w:lang w:val="en-US" w:eastAsia="zh-CN" w:bidi="ar-SA"/>
        </w:rPr>
        <w:t>该层负责基于TCP、HTTP</w:t>
      </w:r>
      <w:r>
        <w:rPr>
          <w:rFonts w:hint="eastAsia" w:cs="Times New Roman"/>
          <w:kern w:val="0"/>
          <w:sz w:val="21"/>
          <w:szCs w:val="24"/>
          <w:lang w:val="en-US" w:eastAsia="zh-CN" w:bidi="ar-SA"/>
        </w:rPr>
        <w:t>及</w:t>
      </w:r>
      <w:r>
        <w:rPr>
          <w:rFonts w:hint="eastAsia" w:ascii="宋体" w:hAnsi="Times New Roman" w:eastAsia="宋体" w:cs="Times New Roman"/>
          <w:kern w:val="0"/>
          <w:sz w:val="21"/>
          <w:szCs w:val="24"/>
          <w:lang w:val="en-US" w:eastAsia="zh-CN" w:bidi="ar-SA"/>
        </w:rPr>
        <w:t>MQTT等网络数据传输技术，实现对停车场（库）信息管理系统或设施数据的接入。考虑到准入停车场（库）原有停车系统的差异性，在数据接入方面，应能够提供多种数据接入模式，包括但不限于数据流接入、接口采集、日志采集、文件传输</w:t>
      </w:r>
      <w:r>
        <w:rPr>
          <w:rFonts w:hint="eastAsia" w:cs="Times New Roman"/>
          <w:kern w:val="0"/>
          <w:sz w:val="21"/>
          <w:szCs w:val="24"/>
          <w:lang w:val="en-US" w:eastAsia="zh-CN" w:bidi="ar-SA"/>
        </w:rPr>
        <w:t>和</w:t>
      </w:r>
      <w:r>
        <w:rPr>
          <w:rFonts w:hint="eastAsia" w:ascii="宋体" w:hAnsi="Times New Roman" w:eastAsia="宋体" w:cs="Times New Roman"/>
          <w:kern w:val="0"/>
          <w:sz w:val="21"/>
          <w:szCs w:val="24"/>
          <w:lang w:val="en-US" w:eastAsia="zh-CN" w:bidi="ar-SA"/>
        </w:rPr>
        <w:t>消息队列。在数据接入前具有安全认证能力，接入后能够对数据按协议规范进行数据解析与格式化</w:t>
      </w:r>
      <w:r>
        <w:rPr>
          <w:rFonts w:hint="eastAsia" w:cs="Times New Roman"/>
          <w:kern w:val="0"/>
          <w:sz w:val="21"/>
          <w:szCs w:val="24"/>
          <w:lang w:val="en-US" w:eastAsia="zh-CN" w:bidi="ar-SA"/>
        </w:rPr>
        <w:t>；</w:t>
      </w:r>
    </w:p>
    <w:p>
      <w:pPr>
        <w:pStyle w:val="30"/>
        <w:keepNext w:val="0"/>
        <w:keepLines w:val="0"/>
        <w:pageBreakBefore w:val="0"/>
        <w:widowControl/>
        <w:numPr>
          <w:ilvl w:val="0"/>
          <w:numId w:val="2"/>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Times New Roman" w:eastAsia="宋体" w:cs="Times New Roman"/>
          <w:kern w:val="0"/>
          <w:sz w:val="21"/>
          <w:szCs w:val="24"/>
          <w:lang w:val="en-US" w:eastAsia="zh-CN" w:bidi="ar-SA"/>
        </w:rPr>
      </w:pPr>
      <w:r>
        <w:rPr>
          <w:rFonts w:hint="eastAsia" w:ascii="宋体" w:hAnsi="Times New Roman" w:eastAsia="宋体" w:cs="Times New Roman"/>
          <w:kern w:val="0"/>
          <w:sz w:val="21"/>
          <w:szCs w:val="22"/>
          <w:lang w:val="en-US" w:eastAsia="zh-CN" w:bidi="ar-SA"/>
        </w:rPr>
        <w:t>数据加工</w:t>
      </w:r>
      <w:r>
        <w:rPr>
          <w:rFonts w:hint="eastAsia" w:cs="Times New Roman"/>
          <w:kern w:val="0"/>
          <w:sz w:val="21"/>
          <w:szCs w:val="22"/>
          <w:lang w:val="en-US" w:eastAsia="zh-CN" w:bidi="ar-SA"/>
        </w:rPr>
        <w:t>：</w:t>
      </w:r>
      <w:r>
        <w:rPr>
          <w:rFonts w:hint="eastAsia" w:ascii="宋体" w:hAnsi="Times New Roman" w:eastAsia="宋体" w:cs="Times New Roman"/>
          <w:kern w:val="0"/>
          <w:sz w:val="21"/>
          <w:szCs w:val="24"/>
          <w:lang w:val="en-US" w:eastAsia="zh-CN" w:bidi="ar-SA"/>
        </w:rPr>
        <w:t>该层负责对接入数据进行数据质量管理，以及面</w:t>
      </w:r>
      <w:r>
        <w:rPr>
          <w:rFonts w:hint="eastAsia" w:cs="Times New Roman"/>
          <w:kern w:val="0"/>
          <w:sz w:val="21"/>
          <w:szCs w:val="24"/>
          <w:lang w:val="en-US" w:eastAsia="zh-CN" w:bidi="ar-SA"/>
        </w:rPr>
        <w:t>向</w:t>
      </w:r>
      <w:r>
        <w:rPr>
          <w:rFonts w:hint="eastAsia" w:ascii="宋体" w:hAnsi="Times New Roman" w:eastAsia="宋体" w:cs="Times New Roman"/>
          <w:kern w:val="0"/>
          <w:sz w:val="21"/>
          <w:szCs w:val="24"/>
          <w:lang w:val="en-US" w:eastAsia="zh-CN" w:bidi="ar-SA"/>
        </w:rPr>
        <w:t>上层业务应用进行数据提取。数据加工包括但不限于数据清洗、数据转换、数据质量校验、数据对比、数据标签化、资产提炼及标准核对</w:t>
      </w:r>
      <w:r>
        <w:rPr>
          <w:rFonts w:hint="eastAsia" w:cs="Times New Roman"/>
          <w:kern w:val="0"/>
          <w:sz w:val="21"/>
          <w:szCs w:val="24"/>
          <w:lang w:val="en-US" w:eastAsia="zh-CN" w:bidi="ar-SA"/>
        </w:rPr>
        <w:t>；</w:t>
      </w:r>
    </w:p>
    <w:p>
      <w:pPr>
        <w:pStyle w:val="30"/>
        <w:keepNext w:val="0"/>
        <w:keepLines w:val="0"/>
        <w:pageBreakBefore w:val="0"/>
        <w:widowControl/>
        <w:numPr>
          <w:ilvl w:val="0"/>
          <w:numId w:val="2"/>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Times New Roman" w:eastAsia="宋体" w:cs="Times New Roman"/>
          <w:kern w:val="0"/>
          <w:sz w:val="21"/>
          <w:szCs w:val="24"/>
          <w:lang w:val="en-US" w:eastAsia="zh-CN" w:bidi="ar-SA"/>
        </w:rPr>
      </w:pPr>
      <w:r>
        <w:rPr>
          <w:rFonts w:hint="eastAsia" w:ascii="宋体" w:hAnsi="Times New Roman" w:eastAsia="宋体" w:cs="Times New Roman"/>
          <w:kern w:val="0"/>
          <w:sz w:val="21"/>
          <w:szCs w:val="24"/>
          <w:lang w:val="en-US" w:eastAsia="zh-CN" w:bidi="ar-SA"/>
        </w:rPr>
        <w:t>数据存储</w:t>
      </w:r>
      <w:r>
        <w:rPr>
          <w:rFonts w:hint="eastAsia" w:cs="Times New Roman"/>
          <w:kern w:val="0"/>
          <w:sz w:val="21"/>
          <w:szCs w:val="24"/>
          <w:lang w:val="en-US" w:eastAsia="zh-CN" w:bidi="ar-SA"/>
        </w:rPr>
        <w:t>：</w:t>
      </w:r>
      <w:r>
        <w:rPr>
          <w:rFonts w:hint="eastAsia" w:ascii="宋体" w:hAnsi="Times New Roman" w:eastAsia="宋体" w:cs="Times New Roman"/>
          <w:kern w:val="0"/>
          <w:sz w:val="21"/>
          <w:szCs w:val="24"/>
          <w:lang w:val="en-US" w:eastAsia="zh-CN" w:bidi="ar-SA"/>
        </w:rPr>
        <w:t>该层负责对接入数据存储管理，针对接入数据结构类型支持结构化数据存储与非结构化数据存储，面向上层业务应用构建业务主题库，包括但不限于停车场静态信息主题库、停车场动态信息主题库、停车场交通交易信息主题库及停车场外部环境信息主题库</w:t>
      </w:r>
      <w:r>
        <w:rPr>
          <w:rFonts w:hint="eastAsia" w:cs="Times New Roman"/>
          <w:kern w:val="0"/>
          <w:sz w:val="21"/>
          <w:szCs w:val="24"/>
          <w:lang w:val="en-US" w:eastAsia="zh-CN" w:bidi="ar-SA"/>
        </w:rPr>
        <w:t>；</w:t>
      </w:r>
    </w:p>
    <w:p>
      <w:pPr>
        <w:pStyle w:val="30"/>
        <w:keepNext w:val="0"/>
        <w:keepLines w:val="0"/>
        <w:pageBreakBefore w:val="0"/>
        <w:widowControl/>
        <w:numPr>
          <w:ilvl w:val="0"/>
          <w:numId w:val="2"/>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Times New Roman" w:eastAsia="宋体" w:cs="Times New Roman"/>
          <w:kern w:val="0"/>
          <w:sz w:val="21"/>
          <w:szCs w:val="24"/>
          <w:lang w:val="en-US" w:eastAsia="zh-CN" w:bidi="ar-SA"/>
        </w:rPr>
      </w:pPr>
      <w:r>
        <w:rPr>
          <w:rFonts w:hint="eastAsia" w:ascii="宋体" w:hAnsi="Times New Roman" w:eastAsia="宋体" w:cs="Times New Roman"/>
          <w:kern w:val="0"/>
          <w:sz w:val="21"/>
          <w:szCs w:val="24"/>
          <w:lang w:val="en-US" w:eastAsia="zh-CN" w:bidi="ar-SA"/>
        </w:rPr>
        <w:t>关键能力</w:t>
      </w:r>
      <w:r>
        <w:rPr>
          <w:rFonts w:hint="eastAsia" w:cs="Times New Roman"/>
          <w:kern w:val="0"/>
          <w:sz w:val="21"/>
          <w:szCs w:val="24"/>
          <w:lang w:val="en-US" w:eastAsia="zh-CN" w:bidi="ar-SA"/>
        </w:rPr>
        <w:t>：</w:t>
      </w:r>
      <w:r>
        <w:rPr>
          <w:rFonts w:hint="eastAsia" w:ascii="宋体" w:hAnsi="Times New Roman" w:eastAsia="宋体" w:cs="Times New Roman"/>
          <w:kern w:val="0"/>
          <w:sz w:val="21"/>
          <w:szCs w:val="24"/>
          <w:lang w:val="en-US" w:eastAsia="zh-CN" w:bidi="ar-SA"/>
        </w:rPr>
        <w:t>该层基于数据存储与面向上层业务应用功能需求，提供支撑应用数据服务的关键能力，包括但不限于数据分析能力、数据计算能力及数据开发能力</w:t>
      </w:r>
      <w:r>
        <w:rPr>
          <w:rFonts w:hint="eastAsia" w:cs="Times New Roman"/>
          <w:kern w:val="0"/>
          <w:sz w:val="21"/>
          <w:szCs w:val="24"/>
          <w:lang w:val="en-US" w:eastAsia="zh-CN" w:bidi="ar-SA"/>
        </w:rPr>
        <w:t>；</w:t>
      </w:r>
    </w:p>
    <w:p>
      <w:pPr>
        <w:pStyle w:val="30"/>
        <w:keepNext w:val="0"/>
        <w:keepLines w:val="0"/>
        <w:pageBreakBefore w:val="0"/>
        <w:widowControl/>
        <w:numPr>
          <w:ilvl w:val="0"/>
          <w:numId w:val="3"/>
        </w:numPr>
        <w:kinsoku/>
        <w:wordWrap/>
        <w:overflowPunct/>
        <w:topLinePunct w:val="0"/>
        <w:autoSpaceDE w:val="0"/>
        <w:autoSpaceDN w:val="0"/>
        <w:bidi w:val="0"/>
        <w:adjustRightInd/>
        <w:snapToGrid/>
        <w:spacing w:line="360" w:lineRule="auto"/>
        <w:ind w:left="210" w:leftChars="0" w:firstLineChars="0"/>
        <w:textAlignment w:val="auto"/>
        <w:rPr>
          <w:rFonts w:hint="eastAsia"/>
          <w:szCs w:val="22"/>
          <w:lang w:val="en-US" w:eastAsia="zh-CN"/>
        </w:rPr>
      </w:pPr>
      <w:r>
        <w:rPr>
          <w:rFonts w:hint="eastAsia"/>
          <w:szCs w:val="22"/>
          <w:lang w:val="en-US" w:eastAsia="zh-CN"/>
        </w:rPr>
        <w:t>数据分析能力应涵盖ETC交易异常数据分析主题、停车场经营情况分析主题和停车场运营情况分析主题；</w:t>
      </w:r>
    </w:p>
    <w:p>
      <w:pPr>
        <w:pStyle w:val="30"/>
        <w:keepNext w:val="0"/>
        <w:keepLines w:val="0"/>
        <w:pageBreakBefore w:val="0"/>
        <w:widowControl/>
        <w:numPr>
          <w:ilvl w:val="0"/>
          <w:numId w:val="3"/>
        </w:numPr>
        <w:kinsoku/>
        <w:wordWrap/>
        <w:overflowPunct/>
        <w:topLinePunct w:val="0"/>
        <w:autoSpaceDE w:val="0"/>
        <w:autoSpaceDN w:val="0"/>
        <w:bidi w:val="0"/>
        <w:adjustRightInd/>
        <w:snapToGrid/>
        <w:spacing w:line="360" w:lineRule="auto"/>
        <w:ind w:left="210" w:leftChars="0" w:firstLineChars="0"/>
        <w:textAlignment w:val="auto"/>
        <w:rPr>
          <w:rFonts w:hint="eastAsia"/>
          <w:szCs w:val="22"/>
          <w:lang w:val="en-US" w:eastAsia="zh-CN"/>
        </w:rPr>
      </w:pPr>
      <w:r>
        <w:rPr>
          <w:rFonts w:hint="eastAsia"/>
          <w:szCs w:val="22"/>
          <w:lang w:val="en-US" w:eastAsia="zh-CN"/>
        </w:rPr>
        <w:t>数据计算能力应涵盖离线计算引擎、内存计算引擎、实时计算引擎、SQL查询引擎及对引擎计算调度的管理服务；</w:t>
      </w:r>
    </w:p>
    <w:p>
      <w:pPr>
        <w:pStyle w:val="30"/>
        <w:keepNext w:val="0"/>
        <w:keepLines w:val="0"/>
        <w:pageBreakBefore w:val="0"/>
        <w:widowControl/>
        <w:numPr>
          <w:ilvl w:val="0"/>
          <w:numId w:val="3"/>
        </w:numPr>
        <w:kinsoku/>
        <w:wordWrap/>
        <w:overflowPunct/>
        <w:topLinePunct w:val="0"/>
        <w:autoSpaceDE w:val="0"/>
        <w:autoSpaceDN w:val="0"/>
        <w:bidi w:val="0"/>
        <w:adjustRightInd/>
        <w:snapToGrid/>
        <w:spacing w:line="360" w:lineRule="auto"/>
        <w:ind w:left="210" w:leftChars="0" w:firstLineChars="0"/>
        <w:textAlignment w:val="auto"/>
        <w:rPr>
          <w:rFonts w:hint="eastAsia"/>
          <w:szCs w:val="22"/>
          <w:lang w:val="en-US" w:eastAsia="zh-CN"/>
        </w:rPr>
      </w:pPr>
      <w:r>
        <w:rPr>
          <w:rFonts w:hint="eastAsia"/>
          <w:szCs w:val="22"/>
          <w:lang w:val="en-US" w:eastAsia="zh-CN"/>
        </w:rPr>
        <w:t>数据开发能力应涵盖支持数据挖掘、深度学习及脱敏加密方面的数据开发扩展能力。</w:t>
      </w:r>
    </w:p>
    <w:p>
      <w:pPr>
        <w:pStyle w:val="30"/>
        <w:keepNext w:val="0"/>
        <w:keepLines w:val="0"/>
        <w:pageBreakBefore w:val="0"/>
        <w:widowControl/>
        <w:numPr>
          <w:ilvl w:val="0"/>
          <w:numId w:val="2"/>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Times New Roman" w:eastAsia="宋体" w:cs="Times New Roman"/>
          <w:kern w:val="0"/>
          <w:sz w:val="21"/>
          <w:szCs w:val="24"/>
          <w:lang w:val="en-US" w:eastAsia="zh-CN" w:bidi="ar-SA"/>
        </w:rPr>
      </w:pPr>
      <w:r>
        <w:rPr>
          <w:rFonts w:hint="eastAsia"/>
          <w:szCs w:val="24"/>
        </w:rPr>
        <w:t>基础服务</w:t>
      </w:r>
      <w:r>
        <w:rPr>
          <w:rFonts w:hint="eastAsia"/>
          <w:szCs w:val="24"/>
          <w:lang w:eastAsia="zh-CN"/>
        </w:rPr>
        <w:t>：</w:t>
      </w:r>
      <w:r>
        <w:rPr>
          <w:rFonts w:hint="eastAsia" w:ascii="宋体" w:hAnsi="Times New Roman" w:eastAsia="宋体" w:cs="Times New Roman"/>
          <w:kern w:val="0"/>
          <w:sz w:val="21"/>
          <w:szCs w:val="24"/>
          <w:lang w:val="en-US" w:eastAsia="zh-CN" w:bidi="ar-SA"/>
        </w:rPr>
        <w:t>该层基于底层数据存储与关键能力，结合停车场在静态信息、动态信息及交易信息典型业务应用场景，针对应用层的服务主体，构建面向业务主题封装与之对应的基础应用服务接口API。</w:t>
      </w:r>
    </w:p>
    <w:p>
      <w:pPr>
        <w:pStyle w:val="30"/>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Times New Roman" w:eastAsia="宋体" w:cs="Times New Roman"/>
          <w:kern w:val="0"/>
          <w:sz w:val="21"/>
          <w:szCs w:val="24"/>
          <w:lang w:val="en-US" w:eastAsia="zh-CN" w:bidi="ar-SA"/>
        </w:rPr>
      </w:pPr>
      <w:r>
        <w:rPr>
          <w:rFonts w:hint="eastAsia" w:ascii="宋体" w:hAnsi="Times New Roman" w:eastAsia="宋体" w:cs="Times New Roman"/>
          <w:kern w:val="0"/>
          <w:sz w:val="21"/>
          <w:szCs w:val="24"/>
          <w:lang w:val="en-US" w:eastAsia="zh-CN" w:bidi="ar-SA"/>
        </w:rPr>
        <w:t>基础服务应包括但不限于如下内容：</w:t>
      </w:r>
    </w:p>
    <w:p>
      <w:pPr>
        <w:pStyle w:val="30"/>
        <w:keepNext w:val="0"/>
        <w:keepLines w:val="0"/>
        <w:pageBreakBefore w:val="0"/>
        <w:widowControl/>
        <w:numPr>
          <w:ilvl w:val="0"/>
          <w:numId w:val="4"/>
        </w:numPr>
        <w:kinsoku/>
        <w:wordWrap/>
        <w:overflowPunct/>
        <w:topLinePunct w:val="0"/>
        <w:autoSpaceDE w:val="0"/>
        <w:autoSpaceDN w:val="0"/>
        <w:bidi w:val="0"/>
        <w:adjustRightInd/>
        <w:snapToGrid/>
        <w:spacing w:line="360" w:lineRule="auto"/>
        <w:ind w:left="210" w:leftChars="0" w:firstLineChars="0"/>
        <w:textAlignment w:val="auto"/>
        <w:rPr>
          <w:rFonts w:hint="eastAsia"/>
          <w:szCs w:val="22"/>
          <w:lang w:val="en-US" w:eastAsia="zh-CN"/>
        </w:rPr>
      </w:pPr>
      <w:r>
        <w:rPr>
          <w:rFonts w:hint="eastAsia"/>
          <w:szCs w:val="22"/>
          <w:lang w:val="en-US" w:eastAsia="zh-CN"/>
        </w:rPr>
        <w:t>停车场静态信息服务：提供停车场管理员信息、停车场基本信息、出入口信息管理、停车泊位信息、充电桩信息及配套设施信息查询和统计分析接口；</w:t>
      </w:r>
    </w:p>
    <w:p>
      <w:pPr>
        <w:pStyle w:val="30"/>
        <w:keepNext w:val="0"/>
        <w:keepLines w:val="0"/>
        <w:pageBreakBefore w:val="0"/>
        <w:widowControl/>
        <w:numPr>
          <w:ilvl w:val="0"/>
          <w:numId w:val="4"/>
        </w:numPr>
        <w:kinsoku/>
        <w:wordWrap/>
        <w:overflowPunct/>
        <w:topLinePunct w:val="0"/>
        <w:autoSpaceDE w:val="0"/>
        <w:autoSpaceDN w:val="0"/>
        <w:bidi w:val="0"/>
        <w:adjustRightInd/>
        <w:snapToGrid/>
        <w:spacing w:line="360" w:lineRule="auto"/>
        <w:ind w:left="210" w:leftChars="0" w:firstLineChars="0"/>
        <w:textAlignment w:val="auto"/>
        <w:rPr>
          <w:rFonts w:hint="eastAsia"/>
          <w:szCs w:val="22"/>
          <w:lang w:val="en-US" w:eastAsia="zh-CN"/>
        </w:rPr>
      </w:pPr>
      <w:r>
        <w:rPr>
          <w:rFonts w:hint="eastAsia"/>
          <w:szCs w:val="22"/>
          <w:lang w:val="en-US" w:eastAsia="zh-CN"/>
        </w:rPr>
        <w:t>停车场动态信息服务：提供停车泊位动态信息、配套设施动态信息、异常状态报警信息、停车入场流水信息、停车出场流水信息、停车订单信息及订单支付信息查询和统计分析接口；</w:t>
      </w:r>
    </w:p>
    <w:p>
      <w:pPr>
        <w:pStyle w:val="30"/>
        <w:keepNext w:val="0"/>
        <w:keepLines w:val="0"/>
        <w:pageBreakBefore w:val="0"/>
        <w:widowControl/>
        <w:numPr>
          <w:ilvl w:val="0"/>
          <w:numId w:val="4"/>
        </w:numPr>
        <w:kinsoku/>
        <w:wordWrap/>
        <w:overflowPunct/>
        <w:topLinePunct w:val="0"/>
        <w:autoSpaceDE w:val="0"/>
        <w:autoSpaceDN w:val="0"/>
        <w:bidi w:val="0"/>
        <w:adjustRightInd/>
        <w:snapToGrid/>
        <w:spacing w:line="360" w:lineRule="auto"/>
        <w:ind w:left="210" w:leftChars="0" w:firstLineChars="0"/>
        <w:textAlignment w:val="auto"/>
        <w:rPr>
          <w:rFonts w:hint="eastAsia"/>
          <w:szCs w:val="22"/>
          <w:lang w:val="en-US" w:eastAsia="zh-CN"/>
        </w:rPr>
      </w:pPr>
      <w:r>
        <w:rPr>
          <w:rFonts w:hint="eastAsia"/>
          <w:szCs w:val="22"/>
          <w:lang w:val="en-US" w:eastAsia="zh-CN"/>
        </w:rPr>
        <w:t>停车场交易信息服务：提供ETC卡支付信息上报与查询、ETC失败交易信息上报与查询、ETC卡黑名单信息获取与查询、OBU黑名单信息获取与查询、删除车辆信息、对账文件获取和历史交易信息上报接口；</w:t>
      </w:r>
    </w:p>
    <w:p>
      <w:pPr>
        <w:pStyle w:val="30"/>
        <w:keepNext w:val="0"/>
        <w:keepLines w:val="0"/>
        <w:pageBreakBefore w:val="0"/>
        <w:widowControl/>
        <w:numPr>
          <w:ilvl w:val="0"/>
          <w:numId w:val="4"/>
        </w:numPr>
        <w:kinsoku/>
        <w:wordWrap/>
        <w:overflowPunct/>
        <w:topLinePunct w:val="0"/>
        <w:autoSpaceDE w:val="0"/>
        <w:autoSpaceDN w:val="0"/>
        <w:bidi w:val="0"/>
        <w:adjustRightInd/>
        <w:snapToGrid/>
        <w:spacing w:line="360" w:lineRule="auto"/>
        <w:ind w:left="210" w:leftChars="0" w:firstLineChars="0"/>
        <w:textAlignment w:val="auto"/>
        <w:rPr>
          <w:rFonts w:hint="eastAsia"/>
          <w:szCs w:val="22"/>
          <w:lang w:val="en-US" w:eastAsia="zh-CN"/>
        </w:rPr>
      </w:pPr>
      <w:r>
        <w:rPr>
          <w:rFonts w:hint="eastAsia"/>
          <w:szCs w:val="22"/>
          <w:lang w:val="en-US" w:eastAsia="zh-CN"/>
        </w:rPr>
        <w:t>信息资源开放服务：提供停车场静态资源、动态资源变化和停车交易等信息推送与查询服务接口。</w:t>
      </w:r>
    </w:p>
    <w:p>
      <w:pPr>
        <w:pStyle w:val="33"/>
        <w:spacing w:before="156" w:after="156" w:line="360" w:lineRule="auto"/>
        <w:rPr>
          <w:rFonts w:hint="eastAsia"/>
          <w:szCs w:val="24"/>
        </w:rPr>
      </w:pPr>
      <w:bookmarkStart w:id="93" w:name="_Toc20397"/>
      <w:r>
        <w:rPr>
          <w:rFonts w:hint="eastAsia"/>
          <w:szCs w:val="24"/>
        </w:rPr>
        <w:t>应用平台</w:t>
      </w:r>
      <w:bookmarkEnd w:id="93"/>
    </w:p>
    <w:p>
      <w:pPr>
        <w:pStyle w:val="30"/>
        <w:spacing w:line="360" w:lineRule="auto"/>
      </w:pPr>
      <w:r>
        <w:rPr>
          <w:rFonts w:hint="eastAsia"/>
          <w:szCs w:val="24"/>
        </w:rPr>
        <w:t>应用平台面向辽宁高速ETC拓展服务平台，提供服务商接入管理、停车场（库）信息管理、ETC交易信息管理</w:t>
      </w:r>
      <w:r>
        <w:rPr>
          <w:rFonts w:hint="eastAsia"/>
          <w:szCs w:val="24"/>
          <w:lang w:val="en-US" w:eastAsia="zh-CN"/>
        </w:rPr>
        <w:t>及</w:t>
      </w:r>
      <w:r>
        <w:rPr>
          <w:rFonts w:hint="eastAsia"/>
          <w:szCs w:val="24"/>
        </w:rPr>
        <w:t>信息发布共享管理业务应用，以Web、数据API接口、HTML5页面、微信小程序及APP提供应用或数据访问形式，满足最终用户在不同场景下的业务应用需求。应用平台应采用分层设计模式，各层职责应满足如下要求：</w:t>
      </w:r>
    </w:p>
    <w:p>
      <w:pPr>
        <w:pStyle w:val="30"/>
        <w:keepNext w:val="0"/>
        <w:keepLines w:val="0"/>
        <w:pageBreakBefore w:val="0"/>
        <w:widowControl/>
        <w:numPr>
          <w:ilvl w:val="0"/>
          <w:numId w:val="5"/>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应用服务</w:t>
      </w:r>
      <w:r>
        <w:rPr>
          <w:rFonts w:hint="eastAsia"/>
          <w:szCs w:val="24"/>
          <w:lang w:eastAsia="zh-CN"/>
        </w:rPr>
        <w:t>：</w:t>
      </w:r>
      <w:r>
        <w:rPr>
          <w:rFonts w:hint="eastAsia"/>
          <w:szCs w:val="24"/>
        </w:rPr>
        <w:t>该层基于数据平台，面向业务应用场景封装与之对应的业务模块与功能，包括但不限于如下四大应用服务模块：</w:t>
      </w:r>
    </w:p>
    <w:p>
      <w:pPr>
        <w:pStyle w:val="30"/>
        <w:keepNext w:val="0"/>
        <w:keepLines w:val="0"/>
        <w:pageBreakBefore w:val="0"/>
        <w:widowControl/>
        <w:numPr>
          <w:ilvl w:val="0"/>
          <w:numId w:val="6"/>
        </w:numPr>
        <w:kinsoku/>
        <w:wordWrap/>
        <w:overflowPunct/>
        <w:topLinePunct w:val="0"/>
        <w:autoSpaceDE w:val="0"/>
        <w:autoSpaceDN w:val="0"/>
        <w:bidi w:val="0"/>
        <w:adjustRightInd/>
        <w:snapToGrid/>
        <w:spacing w:line="360" w:lineRule="auto"/>
        <w:ind w:left="210" w:leftChars="0" w:firstLineChars="0"/>
        <w:textAlignment w:val="auto"/>
        <w:rPr>
          <w:rFonts w:hint="eastAsia"/>
          <w:szCs w:val="22"/>
          <w:lang w:val="en-US" w:eastAsia="zh-CN"/>
        </w:rPr>
      </w:pPr>
      <w:r>
        <w:rPr>
          <w:rFonts w:hint="eastAsia"/>
          <w:szCs w:val="22"/>
          <w:lang w:val="en-US" w:eastAsia="zh-CN"/>
        </w:rPr>
        <w:t>服务商接入管理：应能够能提供对准入辽宁ETC停车场（库）接入注册、接入审批及接入技术服务相关业务活动的管理服务；</w:t>
      </w:r>
    </w:p>
    <w:p>
      <w:pPr>
        <w:pStyle w:val="30"/>
        <w:keepNext w:val="0"/>
        <w:keepLines w:val="0"/>
        <w:pageBreakBefore w:val="0"/>
        <w:widowControl/>
        <w:numPr>
          <w:ilvl w:val="0"/>
          <w:numId w:val="6"/>
        </w:numPr>
        <w:kinsoku/>
        <w:wordWrap/>
        <w:overflowPunct/>
        <w:topLinePunct w:val="0"/>
        <w:autoSpaceDE w:val="0"/>
        <w:autoSpaceDN w:val="0"/>
        <w:bidi w:val="0"/>
        <w:adjustRightInd/>
        <w:snapToGrid/>
        <w:spacing w:line="360" w:lineRule="auto"/>
        <w:ind w:left="210" w:leftChars="0" w:firstLineChars="0"/>
        <w:textAlignment w:val="auto"/>
        <w:rPr>
          <w:rFonts w:hint="eastAsia"/>
          <w:szCs w:val="22"/>
          <w:lang w:val="en-US" w:eastAsia="zh-CN"/>
        </w:rPr>
      </w:pPr>
      <w:r>
        <w:rPr>
          <w:rFonts w:hint="eastAsia"/>
          <w:szCs w:val="22"/>
          <w:lang w:val="en-US" w:eastAsia="zh-CN"/>
        </w:rPr>
        <w:t>停车场（库）信息管理：应能能够提供对接入平台内的停车场（库）静态与动态信息的监管与数据分析服务；</w:t>
      </w:r>
    </w:p>
    <w:p>
      <w:pPr>
        <w:pStyle w:val="30"/>
        <w:keepNext w:val="0"/>
        <w:keepLines w:val="0"/>
        <w:pageBreakBefore w:val="0"/>
        <w:widowControl/>
        <w:numPr>
          <w:ilvl w:val="0"/>
          <w:numId w:val="6"/>
        </w:numPr>
        <w:kinsoku/>
        <w:wordWrap/>
        <w:overflowPunct/>
        <w:topLinePunct w:val="0"/>
        <w:autoSpaceDE w:val="0"/>
        <w:autoSpaceDN w:val="0"/>
        <w:bidi w:val="0"/>
        <w:adjustRightInd/>
        <w:snapToGrid/>
        <w:spacing w:line="360" w:lineRule="auto"/>
        <w:ind w:left="210" w:leftChars="0" w:firstLineChars="0"/>
        <w:textAlignment w:val="auto"/>
        <w:rPr>
          <w:rFonts w:hint="eastAsia"/>
          <w:szCs w:val="22"/>
          <w:lang w:val="en-US" w:eastAsia="zh-CN"/>
        </w:rPr>
      </w:pPr>
      <w:r>
        <w:rPr>
          <w:rFonts w:hint="eastAsia"/>
          <w:szCs w:val="22"/>
          <w:lang w:val="en-US" w:eastAsia="zh-CN"/>
        </w:rPr>
        <w:t>ETC交易信息管理：应能够提供对接入平台内停车场（库）ETC交易信息的数据业务质量管理、合规数据上报辽宁高速ETC云中心及问题数据下发停车场（库）信息管理系统等服务；</w:t>
      </w:r>
    </w:p>
    <w:p>
      <w:pPr>
        <w:pStyle w:val="30"/>
        <w:keepNext w:val="0"/>
        <w:keepLines w:val="0"/>
        <w:pageBreakBefore w:val="0"/>
        <w:widowControl/>
        <w:numPr>
          <w:ilvl w:val="0"/>
          <w:numId w:val="6"/>
        </w:numPr>
        <w:kinsoku/>
        <w:wordWrap/>
        <w:overflowPunct/>
        <w:topLinePunct w:val="0"/>
        <w:autoSpaceDE w:val="0"/>
        <w:autoSpaceDN w:val="0"/>
        <w:bidi w:val="0"/>
        <w:adjustRightInd/>
        <w:snapToGrid/>
        <w:spacing w:line="360" w:lineRule="auto"/>
        <w:ind w:left="210" w:leftChars="0" w:firstLineChars="0"/>
        <w:textAlignment w:val="auto"/>
        <w:rPr>
          <w:rFonts w:hint="eastAsia"/>
          <w:szCs w:val="22"/>
          <w:lang w:val="en-US" w:eastAsia="zh-CN"/>
        </w:rPr>
      </w:pPr>
      <w:r>
        <w:rPr>
          <w:rFonts w:hint="eastAsia"/>
          <w:szCs w:val="22"/>
          <w:lang w:val="en-US" w:eastAsia="zh-CN"/>
        </w:rPr>
        <w:t>信息发布共享管理：应能提供对第三方数据访问的申请受理、审批与反馈，以及访问服务监控与数据统计等服务。</w:t>
      </w:r>
    </w:p>
    <w:p>
      <w:pPr>
        <w:pStyle w:val="30"/>
        <w:keepNext w:val="0"/>
        <w:keepLines w:val="0"/>
        <w:pageBreakBefore w:val="0"/>
        <w:widowControl/>
        <w:numPr>
          <w:ilvl w:val="0"/>
          <w:numId w:val="5"/>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应用访问</w:t>
      </w:r>
      <w:r>
        <w:rPr>
          <w:rFonts w:hint="eastAsia"/>
          <w:szCs w:val="24"/>
          <w:lang w:eastAsia="zh-CN"/>
        </w:rPr>
        <w:t>：</w:t>
      </w:r>
      <w:r>
        <w:rPr>
          <w:rFonts w:hint="eastAsia"/>
          <w:szCs w:val="24"/>
        </w:rPr>
        <w:t>该层负责面向最终用户，提</w:t>
      </w:r>
      <w:r>
        <w:rPr>
          <w:rFonts w:hint="eastAsia" w:ascii="宋体" w:hAnsi="宋体" w:eastAsia="宋体" w:cs="宋体"/>
          <w:szCs w:val="24"/>
          <w:highlight w:val="none"/>
        </w:rPr>
        <w:t>供web</w:t>
      </w:r>
      <w:r>
        <w:rPr>
          <w:rFonts w:hint="eastAsia" w:ascii="宋体" w:hAnsi="宋体" w:eastAsia="宋体" w:cs="宋体"/>
          <w:szCs w:val="24"/>
        </w:rPr>
        <w:t>页面、数据API接口服务、HTML5页面</w:t>
      </w:r>
      <w:r>
        <w:rPr>
          <w:rFonts w:hint="eastAsia"/>
          <w:szCs w:val="24"/>
        </w:rPr>
        <w:t>服务、微信小程序及APP多种数据访问形式，满足使用者对系统数据与功能的访问需求。</w:t>
      </w:r>
    </w:p>
    <w:p>
      <w:pPr>
        <w:pStyle w:val="33"/>
        <w:spacing w:before="156" w:after="156" w:line="360" w:lineRule="auto"/>
        <w:rPr>
          <w:rFonts w:hint="eastAsia"/>
          <w:szCs w:val="24"/>
        </w:rPr>
      </w:pPr>
      <w:bookmarkStart w:id="94" w:name="_Toc21272"/>
      <w:r>
        <w:rPr>
          <w:rFonts w:hint="eastAsia"/>
          <w:szCs w:val="24"/>
        </w:rPr>
        <w:t>管理平台</w:t>
      </w:r>
      <w:bookmarkEnd w:id="94"/>
    </w:p>
    <w:p>
      <w:pPr>
        <w:pStyle w:val="30"/>
        <w:spacing w:line="360" w:lineRule="auto"/>
      </w:pPr>
      <w:r>
        <w:rPr>
          <w:rFonts w:hint="eastAsia"/>
          <w:szCs w:val="24"/>
        </w:rPr>
        <w:t>管理平台提供对数据平台与业务应用平台的数据与访问权限的管理，以及对接入停车场的组织管理、系统资源与性能的监控，以及接入停车场（库）信息管理的授权管理。</w:t>
      </w:r>
    </w:p>
    <w:p>
      <w:pPr>
        <w:pStyle w:val="32"/>
        <w:spacing w:before="312" w:after="312" w:line="360" w:lineRule="auto"/>
        <w:rPr>
          <w:rFonts w:hint="eastAsia"/>
          <w:szCs w:val="22"/>
          <w:lang w:val="en-US" w:eastAsia="zh-CN"/>
        </w:rPr>
      </w:pPr>
      <w:bookmarkStart w:id="95" w:name="_Toc28306"/>
      <w:r>
        <w:rPr>
          <w:rFonts w:hint="eastAsia"/>
          <w:szCs w:val="22"/>
          <w:lang w:val="en-US" w:eastAsia="zh-CN"/>
        </w:rPr>
        <w:t>数据平台关键功能参考</w:t>
      </w:r>
      <w:bookmarkEnd w:id="95"/>
    </w:p>
    <w:p>
      <w:pPr>
        <w:pStyle w:val="33"/>
        <w:spacing w:before="156" w:after="156" w:line="360" w:lineRule="auto"/>
        <w:rPr>
          <w:rFonts w:hint="eastAsia"/>
          <w:szCs w:val="24"/>
        </w:rPr>
      </w:pPr>
      <w:bookmarkStart w:id="96" w:name="_Toc6239"/>
      <w:r>
        <w:rPr>
          <w:rFonts w:hint="eastAsia"/>
          <w:szCs w:val="24"/>
        </w:rPr>
        <w:t>数据汇集功能</w:t>
      </w:r>
      <w:bookmarkEnd w:id="96"/>
    </w:p>
    <w:p>
      <w:pPr>
        <w:pStyle w:val="30"/>
        <w:spacing w:line="360" w:lineRule="auto"/>
      </w:pPr>
      <w:r>
        <w:rPr>
          <w:rFonts w:hint="eastAsia"/>
          <w:szCs w:val="24"/>
          <w:lang w:val="en-US" w:eastAsia="zh-CN"/>
        </w:rPr>
        <w:t>数据汇集功能应</w:t>
      </w:r>
      <w:r>
        <w:rPr>
          <w:rFonts w:hint="eastAsia"/>
          <w:szCs w:val="24"/>
        </w:rPr>
        <w:t>能够基于不同数据传输协议，从各停车场（库）信息管理系统中按规定的格式接收上报数据，实现对停车场（库）ETC停车相关业务的实时数据与历史数据的接入。数据汇集中应包含接入认证与数据解析两个关键环节：</w:t>
      </w:r>
    </w:p>
    <w:p>
      <w:pPr>
        <w:pStyle w:val="30"/>
        <w:keepNext w:val="0"/>
        <w:keepLines w:val="0"/>
        <w:pageBreakBefore w:val="0"/>
        <w:widowControl/>
        <w:numPr>
          <w:ilvl w:val="0"/>
          <w:numId w:val="7"/>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Times New Roman" w:eastAsia="宋体" w:cs="Times New Roman"/>
          <w:kern w:val="0"/>
          <w:sz w:val="21"/>
          <w:szCs w:val="24"/>
          <w:lang w:val="en-US" w:eastAsia="zh-CN" w:bidi="ar-SA"/>
        </w:rPr>
      </w:pPr>
      <w:r>
        <w:rPr>
          <w:rFonts w:hint="eastAsia" w:ascii="宋体" w:hAnsi="Times New Roman" w:eastAsia="宋体" w:cs="Times New Roman"/>
          <w:kern w:val="0"/>
          <w:sz w:val="21"/>
          <w:szCs w:val="24"/>
          <w:lang w:val="en-US" w:eastAsia="zh-CN" w:bidi="ar-SA"/>
        </w:rPr>
        <w:t>接入认证：应对接入停车服务平台对象，进行授权码、IP地址、用户帐号</w:t>
      </w:r>
      <w:r>
        <w:rPr>
          <w:rFonts w:hint="eastAsia" w:cs="Times New Roman"/>
          <w:kern w:val="0"/>
          <w:sz w:val="21"/>
          <w:szCs w:val="24"/>
          <w:lang w:val="en-US" w:eastAsia="zh-CN" w:bidi="ar-SA"/>
        </w:rPr>
        <w:t>和</w:t>
      </w:r>
      <w:r>
        <w:rPr>
          <w:rFonts w:hint="eastAsia" w:ascii="宋体" w:hAnsi="Times New Roman" w:eastAsia="宋体" w:cs="Times New Roman"/>
          <w:kern w:val="0"/>
          <w:sz w:val="21"/>
          <w:szCs w:val="24"/>
          <w:lang w:val="en-US" w:eastAsia="zh-CN" w:bidi="ar-SA"/>
        </w:rPr>
        <w:t>请求类型的接入合法性验证并针对验证结果返回“接入验证回应”</w:t>
      </w:r>
      <w:r>
        <w:rPr>
          <w:rFonts w:hint="eastAsia" w:cs="Times New Roman"/>
          <w:kern w:val="0"/>
          <w:sz w:val="21"/>
          <w:szCs w:val="24"/>
          <w:lang w:val="en-US" w:eastAsia="zh-CN" w:bidi="ar-SA"/>
        </w:rPr>
        <w:t>；</w:t>
      </w:r>
    </w:p>
    <w:p>
      <w:pPr>
        <w:pStyle w:val="30"/>
        <w:keepNext w:val="0"/>
        <w:keepLines w:val="0"/>
        <w:pageBreakBefore w:val="0"/>
        <w:widowControl/>
        <w:numPr>
          <w:ilvl w:val="0"/>
          <w:numId w:val="7"/>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Times New Roman" w:eastAsia="宋体" w:cs="Times New Roman"/>
          <w:kern w:val="0"/>
          <w:sz w:val="21"/>
          <w:szCs w:val="24"/>
          <w:lang w:val="en-US" w:eastAsia="zh-CN" w:bidi="ar-SA"/>
        </w:rPr>
      </w:pPr>
      <w:r>
        <w:rPr>
          <w:rFonts w:hint="eastAsia" w:ascii="宋体" w:hAnsi="Times New Roman" w:eastAsia="宋体" w:cs="Times New Roman"/>
          <w:kern w:val="0"/>
          <w:sz w:val="21"/>
          <w:szCs w:val="24"/>
          <w:lang w:val="en-US" w:eastAsia="zh-CN" w:bidi="ar-SA"/>
        </w:rPr>
        <w:t>数据解析：停车场接入服务平台，应能够支持对接入数据按解析协议进行数据解析并对数据进行合法性筛选，包括数据的类型、长度、阈值、范围</w:t>
      </w:r>
      <w:r>
        <w:rPr>
          <w:rFonts w:hint="eastAsia" w:cs="Times New Roman"/>
          <w:kern w:val="0"/>
          <w:sz w:val="21"/>
          <w:szCs w:val="24"/>
          <w:lang w:val="en-US" w:eastAsia="zh-CN" w:bidi="ar-SA"/>
        </w:rPr>
        <w:t>和</w:t>
      </w:r>
      <w:r>
        <w:rPr>
          <w:rFonts w:hint="eastAsia" w:ascii="宋体" w:hAnsi="Times New Roman" w:eastAsia="宋体" w:cs="Times New Roman"/>
          <w:kern w:val="0"/>
          <w:sz w:val="21"/>
          <w:szCs w:val="24"/>
          <w:lang w:val="en-US" w:eastAsia="zh-CN" w:bidi="ar-SA"/>
        </w:rPr>
        <w:t>有效字符等</w:t>
      </w:r>
      <w:r>
        <w:rPr>
          <w:rFonts w:hint="eastAsia" w:cs="Times New Roman"/>
          <w:kern w:val="0"/>
          <w:sz w:val="21"/>
          <w:szCs w:val="24"/>
          <w:lang w:val="en-US" w:eastAsia="zh-CN" w:bidi="ar-SA"/>
        </w:rPr>
        <w:t>。</w:t>
      </w:r>
    </w:p>
    <w:p>
      <w:pPr>
        <w:pStyle w:val="33"/>
        <w:spacing w:before="156" w:after="156" w:line="360" w:lineRule="auto"/>
        <w:rPr>
          <w:rFonts w:hint="eastAsia"/>
          <w:szCs w:val="24"/>
        </w:rPr>
      </w:pPr>
      <w:bookmarkStart w:id="97" w:name="_Toc7673"/>
      <w:r>
        <w:rPr>
          <w:rFonts w:hint="eastAsia"/>
          <w:szCs w:val="24"/>
        </w:rPr>
        <w:t>数据发送功能</w:t>
      </w:r>
      <w:bookmarkEnd w:id="97"/>
    </w:p>
    <w:p>
      <w:pPr>
        <w:pStyle w:val="30"/>
        <w:spacing w:line="360" w:lineRule="auto"/>
        <w:rPr>
          <w:rFonts w:hint="eastAsia" w:eastAsia="宋体"/>
          <w:lang w:eastAsia="zh-CN"/>
        </w:rPr>
      </w:pPr>
      <w:r>
        <w:rPr>
          <w:rFonts w:hint="eastAsia"/>
          <w:szCs w:val="24"/>
        </w:rPr>
        <w:t>数据发送</w:t>
      </w:r>
      <w:r>
        <w:rPr>
          <w:rFonts w:hint="eastAsia"/>
          <w:szCs w:val="24"/>
          <w:lang w:val="en-US" w:eastAsia="zh-CN"/>
        </w:rPr>
        <w:t>应</w:t>
      </w:r>
      <w:r>
        <w:rPr>
          <w:rFonts w:hint="eastAsia"/>
          <w:szCs w:val="24"/>
        </w:rPr>
        <w:t>涵盖对</w:t>
      </w:r>
      <w:r>
        <w:rPr>
          <w:rFonts w:hint="eastAsia"/>
          <w:szCs w:val="24"/>
          <w:lang w:eastAsia="zh-CN"/>
        </w:rPr>
        <w:t>停车场（库）信息管理系统</w:t>
      </w:r>
      <w:r>
        <w:rPr>
          <w:rFonts w:hint="eastAsia"/>
          <w:szCs w:val="24"/>
        </w:rPr>
        <w:t>的数据下发，与对辽宁高速ETC拓展服务平台的数据上报两部分内容</w:t>
      </w:r>
      <w:r>
        <w:rPr>
          <w:rFonts w:hint="eastAsia"/>
          <w:szCs w:val="24"/>
          <w:lang w:eastAsia="zh-CN"/>
        </w:rPr>
        <w:t>：</w:t>
      </w:r>
    </w:p>
    <w:p>
      <w:pPr>
        <w:pStyle w:val="30"/>
        <w:keepNext w:val="0"/>
        <w:keepLines w:val="0"/>
        <w:pageBreakBefore w:val="0"/>
        <w:widowControl/>
        <w:numPr>
          <w:ilvl w:val="0"/>
          <w:numId w:val="8"/>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Times New Roman" w:eastAsia="宋体" w:cs="Times New Roman"/>
          <w:kern w:val="0"/>
          <w:sz w:val="21"/>
          <w:szCs w:val="24"/>
          <w:lang w:val="en-US" w:eastAsia="zh-CN" w:bidi="ar-SA"/>
        </w:rPr>
      </w:pPr>
      <w:r>
        <w:rPr>
          <w:rFonts w:hint="eastAsia" w:ascii="宋体" w:hAnsi="Times New Roman" w:eastAsia="宋体" w:cs="Times New Roman"/>
          <w:kern w:val="0"/>
          <w:sz w:val="21"/>
          <w:szCs w:val="24"/>
          <w:lang w:val="en-US" w:eastAsia="zh-CN" w:bidi="ar-SA"/>
        </w:rPr>
        <w:t>数据下发：应能够按规定的格式对上报数据对象给予应答反馈</w:t>
      </w:r>
      <w:r>
        <w:rPr>
          <w:rFonts w:hint="eastAsia" w:cs="Times New Roman"/>
          <w:kern w:val="0"/>
          <w:sz w:val="21"/>
          <w:szCs w:val="24"/>
          <w:lang w:val="en-US" w:eastAsia="zh-CN" w:bidi="ar-SA"/>
        </w:rPr>
        <w:t>。</w:t>
      </w:r>
      <w:r>
        <w:rPr>
          <w:rFonts w:hint="eastAsia" w:ascii="宋体" w:hAnsi="Times New Roman" w:eastAsia="宋体" w:cs="Times New Roman"/>
          <w:kern w:val="0"/>
          <w:sz w:val="21"/>
          <w:szCs w:val="24"/>
          <w:lang w:val="en-US" w:eastAsia="zh-CN" w:bidi="ar-SA"/>
        </w:rPr>
        <w:t>反馈类型至少应包括：对上报数据接收状态的应答反馈</w:t>
      </w:r>
      <w:r>
        <w:rPr>
          <w:rFonts w:hint="eastAsia" w:cs="Times New Roman"/>
          <w:kern w:val="0"/>
          <w:sz w:val="21"/>
          <w:szCs w:val="24"/>
          <w:lang w:val="en-US" w:eastAsia="zh-CN" w:bidi="ar-SA"/>
        </w:rPr>
        <w:t>，</w:t>
      </w:r>
      <w:r>
        <w:rPr>
          <w:rFonts w:hint="eastAsia" w:ascii="宋体" w:hAnsi="Times New Roman" w:eastAsia="宋体" w:cs="Times New Roman"/>
          <w:kern w:val="0"/>
          <w:sz w:val="21"/>
          <w:szCs w:val="24"/>
          <w:lang w:val="en-US" w:eastAsia="zh-CN" w:bidi="ar-SA"/>
        </w:rPr>
        <w:t>对接收到数据质量</w:t>
      </w:r>
      <w:r>
        <w:rPr>
          <w:rFonts w:hint="eastAsia" w:cs="Times New Roman"/>
          <w:kern w:val="0"/>
          <w:sz w:val="21"/>
          <w:szCs w:val="24"/>
          <w:lang w:val="en-US" w:eastAsia="zh-CN" w:bidi="ar-SA"/>
        </w:rPr>
        <w:t>检查</w:t>
      </w:r>
      <w:r>
        <w:rPr>
          <w:rFonts w:hint="eastAsia" w:ascii="宋体" w:hAnsi="Times New Roman" w:eastAsia="宋体" w:cs="Times New Roman"/>
          <w:kern w:val="0"/>
          <w:sz w:val="21"/>
          <w:szCs w:val="24"/>
          <w:lang w:val="en-US" w:eastAsia="zh-CN" w:bidi="ar-SA"/>
        </w:rPr>
        <w:t>结果反馈</w:t>
      </w:r>
      <w:r>
        <w:rPr>
          <w:rFonts w:hint="eastAsia" w:cs="Times New Roman"/>
          <w:kern w:val="0"/>
          <w:sz w:val="21"/>
          <w:szCs w:val="24"/>
          <w:lang w:val="en-US" w:eastAsia="zh-CN" w:bidi="ar-SA"/>
        </w:rPr>
        <w:t>，</w:t>
      </w:r>
      <w:r>
        <w:rPr>
          <w:rFonts w:hint="eastAsia" w:ascii="宋体" w:hAnsi="Times New Roman" w:eastAsia="宋体" w:cs="Times New Roman"/>
          <w:kern w:val="0"/>
          <w:sz w:val="21"/>
          <w:szCs w:val="24"/>
          <w:lang w:val="en-US" w:eastAsia="zh-CN" w:bidi="ar-SA"/>
        </w:rPr>
        <w:t>对接收到数据处理结果反馈；</w:t>
      </w:r>
    </w:p>
    <w:p>
      <w:pPr>
        <w:pStyle w:val="30"/>
        <w:keepNext w:val="0"/>
        <w:keepLines w:val="0"/>
        <w:pageBreakBefore w:val="0"/>
        <w:widowControl/>
        <w:numPr>
          <w:ilvl w:val="0"/>
          <w:numId w:val="8"/>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Times New Roman" w:eastAsia="宋体" w:cs="Times New Roman"/>
          <w:kern w:val="0"/>
          <w:sz w:val="21"/>
          <w:szCs w:val="24"/>
          <w:lang w:val="en-US" w:eastAsia="zh-CN" w:bidi="ar-SA"/>
        </w:rPr>
      </w:pPr>
      <w:r>
        <w:rPr>
          <w:rFonts w:hint="eastAsia" w:ascii="宋体" w:hAnsi="Times New Roman" w:eastAsia="宋体" w:cs="Times New Roman"/>
          <w:kern w:val="0"/>
          <w:sz w:val="21"/>
          <w:szCs w:val="24"/>
          <w:lang w:val="en-US" w:eastAsia="zh-CN" w:bidi="ar-SA"/>
        </w:rPr>
        <w:t>数据上报：应能够按规定的格式与通信协议标准，将数据上报到辽宁高速ETC拓展服务平台。数据上报前，应按业务规则对其进行数据质量检查，仅对通过检查数据进行上报，否则停止上报并向数据来源的</w:t>
      </w:r>
      <w:r>
        <w:rPr>
          <w:rFonts w:hint="eastAsia" w:cs="Times New Roman"/>
          <w:kern w:val="0"/>
          <w:sz w:val="21"/>
          <w:szCs w:val="24"/>
          <w:lang w:val="en-US" w:eastAsia="zh-CN" w:bidi="ar-SA"/>
        </w:rPr>
        <w:t>停车场（库）信息管理系统</w:t>
      </w:r>
      <w:r>
        <w:rPr>
          <w:rFonts w:hint="eastAsia" w:ascii="宋体" w:hAnsi="Times New Roman" w:eastAsia="宋体" w:cs="Times New Roman"/>
          <w:kern w:val="0"/>
          <w:sz w:val="21"/>
          <w:szCs w:val="24"/>
          <w:lang w:val="en-US" w:eastAsia="zh-CN" w:bidi="ar-SA"/>
        </w:rPr>
        <w:t>下发数据异常消息。上报数据至少应包括停车场（库）ETC停车业务数据。</w:t>
      </w:r>
    </w:p>
    <w:p>
      <w:pPr>
        <w:numPr>
          <w:ilvl w:val="0"/>
          <w:numId w:val="0"/>
        </w:numPr>
        <w:spacing w:line="360" w:lineRule="auto"/>
        <w:ind w:firstLine="420" w:firstLineChars="0"/>
        <w:rPr>
          <w:rFonts w:hint="eastAsia"/>
          <w:szCs w:val="24"/>
        </w:rPr>
      </w:pPr>
      <w:r>
        <w:rPr>
          <w:rFonts w:hint="eastAsia"/>
          <w:szCs w:val="24"/>
        </w:rPr>
        <w:t>无论是数据下发还是上报，系统都应支持数据补传功能，从而确保在网络或系统发生异常情况时，数据下发与上报的</w:t>
      </w:r>
      <w:r>
        <w:rPr>
          <w:rFonts w:hint="eastAsia"/>
          <w:szCs w:val="24"/>
          <w:lang w:val="en-US" w:eastAsia="zh-CN"/>
        </w:rPr>
        <w:t>完整性</w:t>
      </w:r>
      <w:r>
        <w:rPr>
          <w:rFonts w:hint="eastAsia"/>
          <w:szCs w:val="24"/>
        </w:rPr>
        <w:t>。</w:t>
      </w:r>
    </w:p>
    <w:p>
      <w:pPr>
        <w:pStyle w:val="33"/>
        <w:spacing w:before="156" w:after="156" w:line="360" w:lineRule="auto"/>
        <w:rPr>
          <w:rFonts w:hint="eastAsia"/>
          <w:szCs w:val="24"/>
        </w:rPr>
      </w:pPr>
      <w:bookmarkStart w:id="98" w:name="_Toc23833"/>
      <w:r>
        <w:rPr>
          <w:rFonts w:hint="eastAsia"/>
          <w:szCs w:val="24"/>
        </w:rPr>
        <w:t>数据存储功能</w:t>
      </w:r>
      <w:bookmarkEnd w:id="98"/>
    </w:p>
    <w:p>
      <w:pPr>
        <w:pStyle w:val="30"/>
        <w:spacing w:line="360" w:lineRule="auto"/>
      </w:pPr>
      <w:r>
        <w:rPr>
          <w:rFonts w:hint="eastAsia"/>
          <w:szCs w:val="24"/>
          <w:lang w:val="en-US" w:eastAsia="zh-CN"/>
        </w:rPr>
        <w:t>对于</w:t>
      </w:r>
      <w:r>
        <w:rPr>
          <w:rFonts w:hint="eastAsia"/>
          <w:szCs w:val="24"/>
        </w:rPr>
        <w:t>停车场（库）信息管理系统的数据，</w:t>
      </w:r>
      <w:r>
        <w:rPr>
          <w:rFonts w:hint="eastAsia"/>
          <w:szCs w:val="24"/>
          <w:lang w:val="en-US" w:eastAsia="zh-CN"/>
        </w:rPr>
        <w:t>应</w:t>
      </w:r>
      <w:r>
        <w:rPr>
          <w:rFonts w:hint="eastAsia"/>
          <w:szCs w:val="24"/>
        </w:rPr>
        <w:t>支持对实时数据处理与历史数据的批量处理能力，</w:t>
      </w:r>
      <w:r>
        <w:rPr>
          <w:rFonts w:hint="eastAsia"/>
          <w:szCs w:val="24"/>
          <w:lang w:val="en-US" w:eastAsia="zh-CN"/>
        </w:rPr>
        <w:t>应</w:t>
      </w:r>
      <w:r>
        <w:rPr>
          <w:rFonts w:hint="eastAsia"/>
          <w:szCs w:val="24"/>
        </w:rPr>
        <w:t>采用可支撑数据隔离的数据存储方式存放数据，以及结合数据的使用冷热制定有效的数据读写分离设计与实现，从而保障对业务功能的数据处理时效性、便利性，以及为未来业务功能构建，进行数据融合、提取、分析及数据挖掘提供技术基础。</w:t>
      </w:r>
    </w:p>
    <w:p>
      <w:pPr>
        <w:pStyle w:val="33"/>
        <w:spacing w:before="156" w:after="156" w:line="360" w:lineRule="auto"/>
        <w:rPr>
          <w:rFonts w:hint="eastAsia"/>
          <w:szCs w:val="24"/>
        </w:rPr>
      </w:pPr>
      <w:bookmarkStart w:id="99" w:name="_Toc25893"/>
      <w:r>
        <w:rPr>
          <w:rFonts w:hint="eastAsia"/>
          <w:szCs w:val="24"/>
        </w:rPr>
        <w:t>数据查询分析</w:t>
      </w:r>
      <w:bookmarkEnd w:id="99"/>
    </w:p>
    <w:p>
      <w:pPr>
        <w:pStyle w:val="30"/>
        <w:spacing w:line="360" w:lineRule="auto"/>
      </w:pPr>
      <w:r>
        <w:rPr>
          <w:rFonts w:hint="eastAsia"/>
          <w:szCs w:val="24"/>
        </w:rPr>
        <w:t>数据的查询分析</w:t>
      </w:r>
      <w:r>
        <w:rPr>
          <w:rFonts w:hint="eastAsia"/>
          <w:szCs w:val="24"/>
          <w:lang w:val="en-US" w:eastAsia="zh-CN"/>
        </w:rPr>
        <w:t>应</w:t>
      </w:r>
      <w:r>
        <w:rPr>
          <w:rFonts w:hint="eastAsia"/>
          <w:szCs w:val="24"/>
        </w:rPr>
        <w:t>根据不同服务对象的不同要求，对平台中的大量的数据信息进行查询、分析并输出所需信息。平台应能够为上层数据查询与分析，提供必要的技术组件与基础性服务，从而能够满足业务应用查询在能力、范围</w:t>
      </w:r>
      <w:r>
        <w:rPr>
          <w:rFonts w:hint="eastAsia"/>
          <w:szCs w:val="24"/>
          <w:lang w:val="en-US" w:eastAsia="zh-CN"/>
        </w:rPr>
        <w:t>和</w:t>
      </w:r>
      <w:r>
        <w:rPr>
          <w:rFonts w:hint="eastAsia"/>
          <w:szCs w:val="24"/>
        </w:rPr>
        <w:t>性能等方面的需求，</w:t>
      </w:r>
      <w:r>
        <w:rPr>
          <w:rFonts w:hint="eastAsia"/>
          <w:szCs w:val="24"/>
          <w:lang w:val="en-US" w:eastAsia="zh-CN"/>
        </w:rPr>
        <w:t>提供</w:t>
      </w:r>
      <w:r>
        <w:rPr>
          <w:rFonts w:hint="eastAsia"/>
          <w:szCs w:val="24"/>
        </w:rPr>
        <w:t>对查询结果的可视化呈现的支撑。</w:t>
      </w:r>
    </w:p>
    <w:p>
      <w:pPr>
        <w:pStyle w:val="33"/>
        <w:spacing w:before="156" w:after="156" w:line="360" w:lineRule="auto"/>
        <w:rPr>
          <w:rFonts w:hint="eastAsia"/>
          <w:szCs w:val="24"/>
        </w:rPr>
      </w:pPr>
      <w:bookmarkStart w:id="100" w:name="_Toc7464"/>
      <w:r>
        <w:rPr>
          <w:rFonts w:hint="eastAsia"/>
          <w:szCs w:val="24"/>
        </w:rPr>
        <w:t>信息发布功能</w:t>
      </w:r>
      <w:bookmarkEnd w:id="100"/>
    </w:p>
    <w:p>
      <w:pPr>
        <w:pStyle w:val="30"/>
        <w:spacing w:line="360" w:lineRule="auto"/>
      </w:pPr>
      <w:r>
        <w:rPr>
          <w:rFonts w:hint="eastAsia"/>
          <w:szCs w:val="24"/>
        </w:rPr>
        <w:t>信息发布是平台对外信息服务的载体，是平台的重要组成部分。承担停车接入平台与用户的物理连接、数据传输</w:t>
      </w:r>
      <w:r>
        <w:rPr>
          <w:rFonts w:hint="eastAsia"/>
          <w:szCs w:val="24"/>
          <w:lang w:val="en-US" w:eastAsia="zh-CN"/>
        </w:rPr>
        <w:t>及</w:t>
      </w:r>
      <w:r>
        <w:rPr>
          <w:rFonts w:hint="eastAsia"/>
          <w:szCs w:val="24"/>
        </w:rPr>
        <w:t>信息发布等通信和业务功能。它是数据库的基础数据信息的应用服务体现。对外实现信息共享和应用是平台搭建的最终目的，平台</w:t>
      </w:r>
      <w:r>
        <w:rPr>
          <w:rFonts w:hint="eastAsia"/>
          <w:szCs w:val="24"/>
          <w:lang w:val="en-US" w:eastAsia="zh-CN"/>
        </w:rPr>
        <w:t>应</w:t>
      </w:r>
      <w:r>
        <w:rPr>
          <w:rFonts w:hint="eastAsia"/>
          <w:szCs w:val="24"/>
        </w:rPr>
        <w:t>针对用户对信息的不同需求，提供多种功能信息发布服务，满足用户的多样要求，提供数据服务通道，实现数据共享应用。</w:t>
      </w:r>
    </w:p>
    <w:p>
      <w:pPr>
        <w:pStyle w:val="33"/>
        <w:spacing w:before="156" w:after="156" w:line="360" w:lineRule="auto"/>
        <w:rPr>
          <w:rFonts w:hint="eastAsia"/>
          <w:szCs w:val="24"/>
        </w:rPr>
      </w:pPr>
      <w:bookmarkStart w:id="101" w:name="_Toc25431"/>
      <w:r>
        <w:rPr>
          <w:rFonts w:hint="eastAsia"/>
          <w:szCs w:val="24"/>
        </w:rPr>
        <w:t>日志管理功能</w:t>
      </w:r>
      <w:bookmarkEnd w:id="101"/>
    </w:p>
    <w:p>
      <w:pPr>
        <w:numPr>
          <w:ilvl w:val="0"/>
          <w:numId w:val="0"/>
        </w:numPr>
        <w:spacing w:line="360" w:lineRule="auto"/>
        <w:ind w:firstLine="420" w:firstLineChars="0"/>
        <w:rPr>
          <w:rFonts w:hint="eastAsia"/>
          <w:szCs w:val="24"/>
        </w:rPr>
      </w:pPr>
      <w:r>
        <w:rPr>
          <w:rFonts w:hint="eastAsia"/>
          <w:szCs w:val="24"/>
        </w:rPr>
        <w:t>活动日志：主要记录用户在系统中各类操作情况。不管</w:t>
      </w:r>
      <w:r>
        <w:rPr>
          <w:rFonts w:hint="eastAsia"/>
          <w:szCs w:val="24"/>
          <w:lang w:val="en-US" w:eastAsia="zh-CN"/>
        </w:rPr>
        <w:t>哪</w:t>
      </w:r>
      <w:r>
        <w:rPr>
          <w:rFonts w:hint="eastAsia"/>
          <w:szCs w:val="24"/>
        </w:rPr>
        <w:t>个用户登录系统平台，从他登录起，每个操作步骤都</w:t>
      </w:r>
      <w:r>
        <w:rPr>
          <w:rFonts w:hint="eastAsia"/>
          <w:szCs w:val="24"/>
          <w:lang w:val="en-US" w:eastAsia="zh-CN"/>
        </w:rPr>
        <w:t>应</w:t>
      </w:r>
      <w:r>
        <w:rPr>
          <w:rFonts w:hint="eastAsia"/>
          <w:szCs w:val="24"/>
        </w:rPr>
        <w:t>被记录下来，比如添加、修改和删除城区、停车场信息，创建、修改及注销用户，用户的登录及退出等等。相关日志信息内容包括操作用户名、操作时间</w:t>
      </w:r>
      <w:r>
        <w:rPr>
          <w:rFonts w:hint="eastAsia"/>
          <w:szCs w:val="24"/>
          <w:lang w:val="en-US" w:eastAsia="zh-CN"/>
        </w:rPr>
        <w:t>和</w:t>
      </w:r>
      <w:r>
        <w:rPr>
          <w:rFonts w:hint="eastAsia"/>
          <w:szCs w:val="24"/>
        </w:rPr>
        <w:t>操作内容等。</w:t>
      </w:r>
    </w:p>
    <w:p>
      <w:pPr>
        <w:numPr>
          <w:ilvl w:val="0"/>
          <w:numId w:val="0"/>
        </w:numPr>
        <w:spacing w:line="360" w:lineRule="auto"/>
        <w:ind w:firstLine="420" w:firstLineChars="0"/>
        <w:rPr>
          <w:rFonts w:hint="eastAsia"/>
          <w:szCs w:val="24"/>
        </w:rPr>
      </w:pPr>
      <w:r>
        <w:rPr>
          <w:rFonts w:hint="eastAsia"/>
          <w:szCs w:val="24"/>
        </w:rPr>
        <w:t>文件日志：系统中所有针对文件操作的信息，都将记录在文件操作日志中，包括导入及导出文件，如报表数据</w:t>
      </w:r>
      <w:r>
        <w:rPr>
          <w:rFonts w:hint="eastAsia"/>
          <w:szCs w:val="24"/>
          <w:lang w:val="en-US" w:eastAsia="zh-CN"/>
        </w:rPr>
        <w:t>的导入和导出</w:t>
      </w:r>
      <w:r>
        <w:rPr>
          <w:rFonts w:hint="eastAsia"/>
          <w:szCs w:val="24"/>
        </w:rPr>
        <w:t>。</w:t>
      </w:r>
    </w:p>
    <w:p>
      <w:pPr>
        <w:numPr>
          <w:ilvl w:val="0"/>
          <w:numId w:val="0"/>
        </w:numPr>
        <w:spacing w:line="360" w:lineRule="auto"/>
        <w:ind w:firstLine="420" w:firstLineChars="0"/>
        <w:rPr>
          <w:rFonts w:hint="eastAsia"/>
          <w:szCs w:val="24"/>
        </w:rPr>
      </w:pPr>
      <w:r>
        <w:rPr>
          <w:rFonts w:hint="eastAsia"/>
          <w:szCs w:val="24"/>
        </w:rPr>
        <w:t>程序日志：对程序运行中产生的错误，包括致命及非致命错误，将错误信息保存到程序错误日志中，用于维护及开发人员跟踪错误信息，完善系统。</w:t>
      </w:r>
    </w:p>
    <w:p>
      <w:pPr>
        <w:numPr>
          <w:ilvl w:val="0"/>
          <w:numId w:val="0"/>
        </w:numPr>
        <w:spacing w:line="360" w:lineRule="auto"/>
        <w:ind w:firstLine="420" w:firstLineChars="0"/>
        <w:rPr>
          <w:rFonts w:hint="eastAsia"/>
          <w:szCs w:val="24"/>
        </w:rPr>
      </w:pPr>
      <w:r>
        <w:rPr>
          <w:rFonts w:hint="eastAsia"/>
          <w:szCs w:val="24"/>
        </w:rPr>
        <w:t>日志清理：对上面产生的日志，无论保存在数据库还是文件夹中，模块</w:t>
      </w:r>
      <w:r>
        <w:rPr>
          <w:rFonts w:hint="eastAsia"/>
          <w:szCs w:val="24"/>
          <w:lang w:val="en-US" w:eastAsia="zh-CN"/>
        </w:rPr>
        <w:t>应</w:t>
      </w:r>
      <w:r>
        <w:rPr>
          <w:rFonts w:hint="eastAsia"/>
          <w:szCs w:val="24"/>
        </w:rPr>
        <w:t>提供一个按类型及时间筛选的日志清理操作功能，避免日志不断膨胀，影响系统性能。</w:t>
      </w:r>
    </w:p>
    <w:p>
      <w:pPr>
        <w:pStyle w:val="33"/>
        <w:spacing w:before="156" w:after="156" w:line="360" w:lineRule="auto"/>
        <w:rPr>
          <w:rFonts w:hint="eastAsia"/>
          <w:szCs w:val="24"/>
        </w:rPr>
      </w:pPr>
      <w:bookmarkStart w:id="102" w:name="_Toc27155"/>
      <w:r>
        <w:rPr>
          <w:rFonts w:hint="eastAsia"/>
          <w:szCs w:val="24"/>
        </w:rPr>
        <w:t>账号管理功能</w:t>
      </w:r>
      <w:bookmarkEnd w:id="102"/>
    </w:p>
    <w:p>
      <w:pPr>
        <w:numPr>
          <w:ilvl w:val="0"/>
          <w:numId w:val="0"/>
        </w:numPr>
        <w:spacing w:line="360" w:lineRule="auto"/>
        <w:ind w:firstLine="420" w:firstLineChars="0"/>
        <w:rPr>
          <w:rFonts w:hint="eastAsia"/>
          <w:szCs w:val="24"/>
        </w:rPr>
      </w:pPr>
      <w:r>
        <w:rPr>
          <w:rFonts w:hint="eastAsia"/>
          <w:szCs w:val="24"/>
        </w:rPr>
        <w:t>账号管理应包含账号注册与账号查询功能，具体功能特性描述如下：</w:t>
      </w:r>
    </w:p>
    <w:p>
      <w:pPr>
        <w:numPr>
          <w:ilvl w:val="0"/>
          <w:numId w:val="0"/>
        </w:numPr>
        <w:spacing w:line="360" w:lineRule="auto"/>
        <w:ind w:firstLine="420" w:firstLineChars="0"/>
        <w:rPr>
          <w:rFonts w:hint="eastAsia"/>
          <w:szCs w:val="24"/>
        </w:rPr>
      </w:pPr>
      <w:r>
        <w:rPr>
          <w:rFonts w:hint="eastAsia"/>
          <w:szCs w:val="24"/>
          <w:lang w:val="en-US" w:eastAsia="zh-CN"/>
        </w:rPr>
        <w:t>账号</w:t>
      </w:r>
      <w:r>
        <w:rPr>
          <w:rFonts w:hint="eastAsia"/>
          <w:szCs w:val="24"/>
        </w:rPr>
        <w:t>注册：提供对系统的超级管理员、管理员</w:t>
      </w:r>
      <w:r>
        <w:rPr>
          <w:rFonts w:hint="eastAsia"/>
          <w:szCs w:val="24"/>
          <w:lang w:val="en-US" w:eastAsia="zh-CN"/>
        </w:rPr>
        <w:t>和</w:t>
      </w:r>
      <w:r>
        <w:rPr>
          <w:rFonts w:hint="eastAsia"/>
          <w:szCs w:val="24"/>
        </w:rPr>
        <w:t>普通用户的账号增删改查功能。</w:t>
      </w:r>
    </w:p>
    <w:p>
      <w:pPr>
        <w:pStyle w:val="30"/>
        <w:keepNext w:val="0"/>
        <w:keepLines w:val="0"/>
        <w:pageBreakBefore w:val="0"/>
        <w:widowControl/>
        <w:numPr>
          <w:ilvl w:val="0"/>
          <w:numId w:val="9"/>
        </w:numPr>
        <w:kinsoku/>
        <w:wordWrap/>
        <w:overflowPunct/>
        <w:topLinePunct w:val="0"/>
        <w:autoSpaceDE w:val="0"/>
        <w:autoSpaceDN w:val="0"/>
        <w:bidi w:val="0"/>
        <w:adjustRightInd/>
        <w:snapToGrid/>
        <w:spacing w:line="360" w:lineRule="auto"/>
        <w:ind w:left="210" w:leftChars="0" w:firstLine="420" w:firstLineChars="0"/>
        <w:textAlignment w:val="auto"/>
        <w:rPr>
          <w:rFonts w:hint="eastAsia" w:ascii="宋体" w:hAnsi="Times New Roman" w:eastAsia="宋体" w:cs="Times New Roman"/>
          <w:kern w:val="0"/>
          <w:sz w:val="21"/>
          <w:szCs w:val="24"/>
          <w:lang w:val="en-US" w:eastAsia="zh-CN" w:bidi="ar-SA"/>
        </w:rPr>
      </w:pPr>
      <w:r>
        <w:rPr>
          <w:rFonts w:hint="eastAsia" w:ascii="宋体" w:hAnsi="Times New Roman" w:eastAsia="宋体" w:cs="Times New Roman"/>
          <w:kern w:val="0"/>
          <w:sz w:val="21"/>
          <w:szCs w:val="24"/>
          <w:lang w:val="en-US" w:eastAsia="zh-CN" w:bidi="ar-SA"/>
        </w:rPr>
        <w:t>超级管理员：该账号仅能由超级管理员创建，该账号具有系统最高级别的控制权限，无需与权限角色相关联，默认有权访问系统内所有应用功能与数据。超级管理员账号可以创建管理员与普通用户账号，并对其创建的账号进行编辑操作</w:t>
      </w:r>
      <w:r>
        <w:rPr>
          <w:rFonts w:hint="eastAsia" w:cs="Times New Roman"/>
          <w:kern w:val="0"/>
          <w:sz w:val="21"/>
          <w:szCs w:val="24"/>
          <w:lang w:val="en-US" w:eastAsia="zh-CN" w:bidi="ar-SA"/>
        </w:rPr>
        <w:t>；</w:t>
      </w:r>
    </w:p>
    <w:p>
      <w:pPr>
        <w:pStyle w:val="30"/>
        <w:keepNext w:val="0"/>
        <w:keepLines w:val="0"/>
        <w:pageBreakBefore w:val="0"/>
        <w:widowControl/>
        <w:numPr>
          <w:ilvl w:val="0"/>
          <w:numId w:val="9"/>
        </w:numPr>
        <w:kinsoku/>
        <w:wordWrap/>
        <w:overflowPunct/>
        <w:topLinePunct w:val="0"/>
        <w:autoSpaceDE w:val="0"/>
        <w:autoSpaceDN w:val="0"/>
        <w:bidi w:val="0"/>
        <w:adjustRightInd/>
        <w:snapToGrid/>
        <w:spacing w:line="360" w:lineRule="auto"/>
        <w:ind w:left="210" w:leftChars="0" w:firstLine="420" w:firstLineChars="0"/>
        <w:textAlignment w:val="auto"/>
        <w:rPr>
          <w:rFonts w:hint="eastAsia" w:ascii="宋体" w:hAnsi="Times New Roman" w:eastAsia="宋体" w:cs="Times New Roman"/>
          <w:kern w:val="0"/>
          <w:sz w:val="21"/>
          <w:szCs w:val="24"/>
          <w:lang w:val="en-US" w:eastAsia="zh-CN" w:bidi="ar-SA"/>
        </w:rPr>
      </w:pPr>
      <w:r>
        <w:rPr>
          <w:rFonts w:hint="eastAsia" w:ascii="宋体" w:hAnsi="Times New Roman" w:eastAsia="宋体" w:cs="Times New Roman"/>
          <w:kern w:val="0"/>
          <w:sz w:val="21"/>
          <w:szCs w:val="24"/>
          <w:lang w:val="en-US" w:eastAsia="zh-CN" w:bidi="ar-SA"/>
        </w:rPr>
        <w:t>管理员：该账户</w:t>
      </w:r>
      <w:r>
        <w:rPr>
          <w:rFonts w:hint="eastAsia" w:cs="Times New Roman"/>
          <w:kern w:val="0"/>
          <w:sz w:val="21"/>
          <w:szCs w:val="24"/>
          <w:lang w:val="en-US" w:eastAsia="zh-CN" w:bidi="ar-SA"/>
        </w:rPr>
        <w:t>应</w:t>
      </w:r>
      <w:r>
        <w:rPr>
          <w:rFonts w:hint="eastAsia" w:ascii="宋体" w:hAnsi="Times New Roman" w:eastAsia="宋体" w:cs="Times New Roman"/>
          <w:kern w:val="0"/>
          <w:sz w:val="21"/>
          <w:szCs w:val="24"/>
          <w:lang w:val="en-US" w:eastAsia="zh-CN" w:bidi="ar-SA"/>
        </w:rPr>
        <w:t>由超级管理员创建，对系统功能与数据的访问权限由创建时配置的角色而定。管理员账号可创建普通用户账号，并对其创建的账号进行编辑操作</w:t>
      </w:r>
      <w:r>
        <w:rPr>
          <w:rFonts w:hint="eastAsia" w:cs="Times New Roman"/>
          <w:kern w:val="0"/>
          <w:sz w:val="21"/>
          <w:szCs w:val="24"/>
          <w:lang w:val="en-US" w:eastAsia="zh-CN" w:bidi="ar-SA"/>
        </w:rPr>
        <w:t>；</w:t>
      </w:r>
    </w:p>
    <w:p>
      <w:pPr>
        <w:pStyle w:val="30"/>
        <w:keepNext w:val="0"/>
        <w:keepLines w:val="0"/>
        <w:pageBreakBefore w:val="0"/>
        <w:widowControl/>
        <w:numPr>
          <w:ilvl w:val="0"/>
          <w:numId w:val="9"/>
        </w:numPr>
        <w:kinsoku/>
        <w:wordWrap/>
        <w:overflowPunct/>
        <w:topLinePunct w:val="0"/>
        <w:autoSpaceDE w:val="0"/>
        <w:autoSpaceDN w:val="0"/>
        <w:bidi w:val="0"/>
        <w:adjustRightInd/>
        <w:snapToGrid/>
        <w:spacing w:line="360" w:lineRule="auto"/>
        <w:ind w:left="210" w:leftChars="0" w:firstLine="420" w:firstLineChars="0"/>
        <w:textAlignment w:val="auto"/>
        <w:rPr>
          <w:rFonts w:hint="eastAsia" w:ascii="宋体" w:hAnsi="Times New Roman" w:eastAsia="宋体" w:cs="Times New Roman"/>
          <w:kern w:val="0"/>
          <w:sz w:val="21"/>
          <w:szCs w:val="24"/>
          <w:lang w:val="en-US" w:eastAsia="zh-CN" w:bidi="ar-SA"/>
        </w:rPr>
      </w:pPr>
      <w:r>
        <w:rPr>
          <w:rFonts w:hint="eastAsia" w:ascii="宋体" w:hAnsi="Times New Roman" w:eastAsia="宋体" w:cs="Times New Roman"/>
          <w:kern w:val="0"/>
          <w:sz w:val="21"/>
          <w:szCs w:val="24"/>
          <w:lang w:val="en-US" w:eastAsia="zh-CN" w:bidi="ar-SA"/>
        </w:rPr>
        <w:t>普通用户：该账户可由超级管理员或管理员账号创建，对系统功能与数据的访问权限由创建时配置的角色而定。</w:t>
      </w:r>
    </w:p>
    <w:p>
      <w:pPr>
        <w:numPr>
          <w:ilvl w:val="0"/>
          <w:numId w:val="0"/>
        </w:numPr>
        <w:spacing w:line="360" w:lineRule="auto"/>
        <w:ind w:firstLine="420" w:firstLineChars="0"/>
        <w:rPr>
          <w:rFonts w:hint="eastAsia"/>
          <w:szCs w:val="24"/>
        </w:rPr>
      </w:pPr>
      <w:r>
        <w:rPr>
          <w:rFonts w:hint="eastAsia"/>
          <w:szCs w:val="24"/>
        </w:rPr>
        <w:t>账号查询：提供对账号自身创建时间</w:t>
      </w:r>
      <w:r>
        <w:rPr>
          <w:rFonts w:hint="eastAsia"/>
          <w:szCs w:val="24"/>
          <w:lang w:val="en-US" w:eastAsia="zh-CN"/>
        </w:rPr>
        <w:t>及</w:t>
      </w:r>
      <w:r>
        <w:rPr>
          <w:rFonts w:hint="eastAsia"/>
          <w:szCs w:val="24"/>
        </w:rPr>
        <w:t>权限范围信息的查看以及对其下属创建账号类型、时间及登录访问情况的查询。</w:t>
      </w:r>
    </w:p>
    <w:p>
      <w:pPr>
        <w:pStyle w:val="33"/>
        <w:spacing w:before="156" w:after="156" w:line="360" w:lineRule="auto"/>
        <w:rPr>
          <w:rFonts w:hint="eastAsia"/>
          <w:szCs w:val="24"/>
        </w:rPr>
      </w:pPr>
      <w:bookmarkStart w:id="103" w:name="_Toc7735"/>
      <w:r>
        <w:rPr>
          <w:rFonts w:hint="eastAsia"/>
          <w:szCs w:val="24"/>
        </w:rPr>
        <w:t>角色管理功能</w:t>
      </w:r>
      <w:bookmarkEnd w:id="103"/>
    </w:p>
    <w:p>
      <w:pPr>
        <w:numPr>
          <w:ilvl w:val="0"/>
          <w:numId w:val="0"/>
        </w:numPr>
        <w:spacing w:line="360" w:lineRule="auto"/>
        <w:ind w:firstLine="420" w:firstLineChars="0"/>
        <w:rPr>
          <w:rFonts w:hint="eastAsia"/>
          <w:szCs w:val="24"/>
        </w:rPr>
      </w:pPr>
      <w:r>
        <w:rPr>
          <w:rFonts w:hint="eastAsia"/>
          <w:szCs w:val="24"/>
        </w:rPr>
        <w:t>角色管理功能应包括角色定义与角色应用查询。</w:t>
      </w:r>
    </w:p>
    <w:p>
      <w:pPr>
        <w:numPr>
          <w:ilvl w:val="0"/>
          <w:numId w:val="0"/>
        </w:numPr>
        <w:spacing w:line="360" w:lineRule="auto"/>
        <w:ind w:firstLine="420" w:firstLineChars="0"/>
        <w:rPr>
          <w:rFonts w:hint="eastAsia"/>
          <w:szCs w:val="24"/>
        </w:rPr>
      </w:pPr>
      <w:r>
        <w:rPr>
          <w:rFonts w:hint="eastAsia"/>
          <w:szCs w:val="24"/>
        </w:rPr>
        <w:t>角色定义：提供对系统操作权限角色的定义</w:t>
      </w:r>
      <w:r>
        <w:rPr>
          <w:rFonts w:hint="eastAsia"/>
          <w:szCs w:val="24"/>
          <w:lang w:eastAsia="zh-CN"/>
        </w:rPr>
        <w:t>。</w:t>
      </w:r>
      <w:r>
        <w:rPr>
          <w:rFonts w:hint="eastAsia"/>
          <w:szCs w:val="24"/>
        </w:rPr>
        <w:t>定义内容应包括角色名称、系统功能操作</w:t>
      </w:r>
      <w:r>
        <w:rPr>
          <w:rFonts w:hint="eastAsia"/>
          <w:szCs w:val="24"/>
          <w:lang w:val="en-US" w:eastAsia="zh-CN"/>
        </w:rPr>
        <w:t>权限</w:t>
      </w:r>
      <w:r>
        <w:rPr>
          <w:rFonts w:hint="eastAsia"/>
          <w:szCs w:val="24"/>
        </w:rPr>
        <w:t>与数据访问范围。</w:t>
      </w:r>
    </w:p>
    <w:p>
      <w:pPr>
        <w:numPr>
          <w:ilvl w:val="0"/>
          <w:numId w:val="0"/>
        </w:numPr>
        <w:spacing w:line="360" w:lineRule="auto"/>
        <w:ind w:firstLine="420" w:firstLineChars="0"/>
        <w:rPr>
          <w:rFonts w:hint="eastAsia"/>
          <w:szCs w:val="24"/>
        </w:rPr>
      </w:pPr>
      <w:r>
        <w:rPr>
          <w:rFonts w:hint="eastAsia"/>
          <w:szCs w:val="24"/>
        </w:rPr>
        <w:t>角色应用查询：提供对角色已绑定账号信息的查询。</w:t>
      </w:r>
    </w:p>
    <w:p>
      <w:pPr>
        <w:pStyle w:val="33"/>
        <w:spacing w:before="156" w:after="156" w:line="360" w:lineRule="auto"/>
        <w:rPr>
          <w:rFonts w:hint="eastAsia"/>
          <w:szCs w:val="24"/>
        </w:rPr>
      </w:pPr>
      <w:bookmarkStart w:id="104" w:name="_Toc27693"/>
      <w:r>
        <w:rPr>
          <w:rFonts w:hint="eastAsia"/>
          <w:szCs w:val="24"/>
        </w:rPr>
        <w:t>组织管理功能</w:t>
      </w:r>
      <w:bookmarkEnd w:id="104"/>
    </w:p>
    <w:p>
      <w:pPr>
        <w:numPr>
          <w:ilvl w:val="0"/>
          <w:numId w:val="0"/>
        </w:numPr>
        <w:spacing w:line="360" w:lineRule="auto"/>
        <w:ind w:firstLine="420" w:firstLineChars="0"/>
        <w:rPr>
          <w:rFonts w:hint="eastAsia"/>
          <w:szCs w:val="24"/>
        </w:rPr>
      </w:pPr>
      <w:r>
        <w:rPr>
          <w:rFonts w:hint="eastAsia"/>
          <w:szCs w:val="24"/>
        </w:rPr>
        <w:t>组织管理功能，</w:t>
      </w:r>
      <w:r>
        <w:rPr>
          <w:rFonts w:hint="eastAsia"/>
          <w:szCs w:val="24"/>
          <w:lang w:val="en-US" w:eastAsia="zh-CN"/>
        </w:rPr>
        <w:t>应</w:t>
      </w:r>
      <w:r>
        <w:rPr>
          <w:rFonts w:hint="eastAsia"/>
          <w:szCs w:val="24"/>
        </w:rPr>
        <w:t>提供对停车场（库）信息管理层级的维护，包括组织层级定义、组织节点信息维护</w:t>
      </w:r>
      <w:r>
        <w:rPr>
          <w:rFonts w:hint="eastAsia"/>
          <w:szCs w:val="24"/>
          <w:lang w:val="en-US" w:eastAsia="zh-CN"/>
        </w:rPr>
        <w:t>及</w:t>
      </w:r>
      <w:r>
        <w:rPr>
          <w:rFonts w:hint="eastAsia"/>
          <w:szCs w:val="24"/>
        </w:rPr>
        <w:t>组织节点上下级关系关联维护。</w:t>
      </w:r>
    </w:p>
    <w:p>
      <w:pPr>
        <w:pStyle w:val="33"/>
        <w:spacing w:before="156" w:after="156" w:line="360" w:lineRule="auto"/>
        <w:rPr>
          <w:rFonts w:hint="eastAsia"/>
          <w:szCs w:val="24"/>
        </w:rPr>
      </w:pPr>
      <w:bookmarkStart w:id="105" w:name="_Toc14551"/>
      <w:r>
        <w:rPr>
          <w:rFonts w:hint="eastAsia"/>
          <w:szCs w:val="24"/>
        </w:rPr>
        <w:t>系统配置功能</w:t>
      </w:r>
      <w:bookmarkEnd w:id="105"/>
    </w:p>
    <w:p>
      <w:pPr>
        <w:numPr>
          <w:ilvl w:val="0"/>
          <w:numId w:val="0"/>
        </w:numPr>
        <w:spacing w:line="360" w:lineRule="auto"/>
        <w:ind w:firstLine="420" w:firstLineChars="0"/>
        <w:rPr>
          <w:rFonts w:hint="eastAsia"/>
          <w:szCs w:val="24"/>
        </w:rPr>
      </w:pPr>
      <w:r>
        <w:rPr>
          <w:rFonts w:hint="eastAsia"/>
          <w:szCs w:val="24"/>
          <w:lang w:val="en-US" w:eastAsia="zh-CN"/>
        </w:rPr>
        <w:t>应</w:t>
      </w:r>
      <w:r>
        <w:rPr>
          <w:rFonts w:hint="eastAsia"/>
          <w:szCs w:val="24"/>
        </w:rPr>
        <w:t>提供对系统公共信息的全局配置功能，包括系统界面相关的配置、系统数据字典的配置、系统常量参数配置</w:t>
      </w:r>
      <w:r>
        <w:rPr>
          <w:rFonts w:hint="eastAsia"/>
          <w:szCs w:val="24"/>
          <w:lang w:val="en-US" w:eastAsia="zh-CN"/>
        </w:rPr>
        <w:t>及</w:t>
      </w:r>
      <w:r>
        <w:rPr>
          <w:rFonts w:hint="eastAsia"/>
          <w:szCs w:val="24"/>
        </w:rPr>
        <w:t>系统控制参数的配置等。</w:t>
      </w:r>
    </w:p>
    <w:p>
      <w:pPr>
        <w:pStyle w:val="33"/>
        <w:spacing w:before="156" w:after="156" w:line="360" w:lineRule="auto"/>
        <w:rPr>
          <w:rFonts w:hint="eastAsia"/>
          <w:szCs w:val="24"/>
        </w:rPr>
      </w:pPr>
      <w:bookmarkStart w:id="106" w:name="_Toc3625"/>
      <w:r>
        <w:rPr>
          <w:rFonts w:hint="eastAsia"/>
          <w:szCs w:val="24"/>
        </w:rPr>
        <w:t>安全管理功能</w:t>
      </w:r>
      <w:bookmarkEnd w:id="106"/>
    </w:p>
    <w:p>
      <w:pPr>
        <w:numPr>
          <w:ilvl w:val="0"/>
          <w:numId w:val="0"/>
        </w:numPr>
        <w:spacing w:line="360" w:lineRule="auto"/>
        <w:ind w:firstLine="420" w:firstLineChars="0"/>
        <w:rPr>
          <w:rFonts w:hint="eastAsia"/>
          <w:szCs w:val="24"/>
        </w:rPr>
      </w:pPr>
      <w:r>
        <w:rPr>
          <w:rFonts w:hint="eastAsia"/>
          <w:szCs w:val="24"/>
        </w:rPr>
        <w:t>应提供对系统账号操作日志查询、系统异常状态日志查询、系统安全事件日志预警与查询、系统接口访问授权管理、数据加密算法管理</w:t>
      </w:r>
      <w:r>
        <w:rPr>
          <w:rFonts w:hint="eastAsia"/>
          <w:szCs w:val="24"/>
          <w:lang w:val="en-US" w:eastAsia="zh-CN"/>
        </w:rPr>
        <w:t>和</w:t>
      </w:r>
      <w:r>
        <w:rPr>
          <w:rFonts w:hint="eastAsia"/>
          <w:szCs w:val="24"/>
        </w:rPr>
        <w:t>数据备份规则定义等功能。</w:t>
      </w:r>
    </w:p>
    <w:p>
      <w:pPr>
        <w:pStyle w:val="33"/>
        <w:spacing w:before="156" w:after="156" w:line="360" w:lineRule="auto"/>
        <w:rPr>
          <w:rFonts w:hint="eastAsia"/>
          <w:szCs w:val="24"/>
        </w:rPr>
      </w:pPr>
      <w:bookmarkStart w:id="107" w:name="_Toc32629"/>
      <w:r>
        <w:rPr>
          <w:rFonts w:hint="eastAsia"/>
          <w:szCs w:val="24"/>
        </w:rPr>
        <w:t>系统监控功能</w:t>
      </w:r>
      <w:bookmarkEnd w:id="107"/>
    </w:p>
    <w:p>
      <w:pPr>
        <w:numPr>
          <w:ilvl w:val="0"/>
          <w:numId w:val="0"/>
        </w:numPr>
        <w:spacing w:line="360" w:lineRule="auto"/>
        <w:ind w:firstLine="420" w:firstLineChars="0"/>
        <w:rPr>
          <w:rFonts w:hint="eastAsia"/>
          <w:szCs w:val="24"/>
        </w:rPr>
      </w:pPr>
      <w:r>
        <w:rPr>
          <w:rFonts w:hint="eastAsia"/>
          <w:szCs w:val="24"/>
        </w:rPr>
        <w:t>应能提供对系统数据资产与系统运行状态管理方面的监控功能。应满足系统运维人员的可视化监控的需求，并能够支持大屏展示需求。</w:t>
      </w:r>
    </w:p>
    <w:p>
      <w:pPr>
        <w:numPr>
          <w:ilvl w:val="0"/>
          <w:numId w:val="0"/>
        </w:numPr>
        <w:spacing w:line="360" w:lineRule="auto"/>
        <w:ind w:firstLine="420" w:firstLineChars="0"/>
        <w:rPr>
          <w:rFonts w:hint="eastAsia"/>
          <w:szCs w:val="24"/>
        </w:rPr>
      </w:pPr>
      <w:r>
        <w:rPr>
          <w:rFonts w:hint="eastAsia"/>
          <w:szCs w:val="24"/>
        </w:rPr>
        <w:t>数据资产监控：包括对接入停车场（库）系统的实时数据整体流量、上报时间</w:t>
      </w:r>
      <w:r>
        <w:rPr>
          <w:rFonts w:hint="eastAsia"/>
          <w:szCs w:val="24"/>
          <w:lang w:val="en-US" w:eastAsia="zh-CN"/>
        </w:rPr>
        <w:t>和</w:t>
      </w:r>
      <w:r>
        <w:rPr>
          <w:rFonts w:hint="eastAsia"/>
          <w:szCs w:val="24"/>
        </w:rPr>
        <w:t>上报内容的监控</w:t>
      </w:r>
      <w:r>
        <w:rPr>
          <w:rFonts w:hint="eastAsia"/>
          <w:szCs w:val="24"/>
          <w:lang w:eastAsia="zh-CN"/>
        </w:rPr>
        <w:t>、</w:t>
      </w:r>
      <w:r>
        <w:rPr>
          <w:rFonts w:hint="eastAsia"/>
          <w:szCs w:val="24"/>
        </w:rPr>
        <w:t>对入库数据容量、数据内容</w:t>
      </w:r>
      <w:r>
        <w:rPr>
          <w:rFonts w:hint="eastAsia"/>
          <w:szCs w:val="24"/>
          <w:lang w:val="en-US" w:eastAsia="zh-CN"/>
        </w:rPr>
        <w:t>和</w:t>
      </w:r>
      <w:r>
        <w:rPr>
          <w:rFonts w:hint="eastAsia"/>
          <w:szCs w:val="24"/>
        </w:rPr>
        <w:t>变化趋势方面的监控。</w:t>
      </w:r>
    </w:p>
    <w:p>
      <w:pPr>
        <w:numPr>
          <w:ilvl w:val="0"/>
          <w:numId w:val="0"/>
        </w:numPr>
        <w:spacing w:line="360" w:lineRule="auto"/>
        <w:ind w:firstLine="420" w:firstLineChars="0"/>
        <w:rPr>
          <w:rFonts w:hint="eastAsia"/>
          <w:szCs w:val="24"/>
        </w:rPr>
      </w:pPr>
      <w:r>
        <w:rPr>
          <w:rFonts w:hint="eastAsia"/>
          <w:szCs w:val="24"/>
        </w:rPr>
        <w:t>系统运行状态监控：数据网关负载情况监控、数据存储空间监控、数据查询效率性能监控、计算服务负载情况监控、系统接口服务访问监控</w:t>
      </w:r>
      <w:r>
        <w:rPr>
          <w:rFonts w:hint="eastAsia"/>
          <w:szCs w:val="24"/>
          <w:lang w:val="en-US" w:eastAsia="zh-CN"/>
        </w:rPr>
        <w:t>和</w:t>
      </w:r>
      <w:r>
        <w:rPr>
          <w:rFonts w:hint="eastAsia"/>
          <w:szCs w:val="24"/>
        </w:rPr>
        <w:t>系统安全事件监控。</w:t>
      </w:r>
    </w:p>
    <w:p>
      <w:pPr>
        <w:pStyle w:val="33"/>
        <w:spacing w:before="156" w:after="156" w:line="360" w:lineRule="auto"/>
        <w:rPr>
          <w:rFonts w:hint="eastAsia"/>
          <w:szCs w:val="24"/>
        </w:rPr>
      </w:pPr>
      <w:bookmarkStart w:id="108" w:name="_Toc11833"/>
      <w:r>
        <w:rPr>
          <w:rFonts w:hint="eastAsia"/>
          <w:szCs w:val="24"/>
        </w:rPr>
        <w:t>响应码要求</w:t>
      </w:r>
      <w:bookmarkEnd w:id="108"/>
    </w:p>
    <w:p>
      <w:pPr>
        <w:numPr>
          <w:ilvl w:val="0"/>
          <w:numId w:val="0"/>
        </w:numPr>
        <w:spacing w:line="360" w:lineRule="auto"/>
        <w:ind w:firstLine="420" w:firstLineChars="0"/>
        <w:rPr>
          <w:rFonts w:hint="eastAsia"/>
          <w:szCs w:val="24"/>
        </w:rPr>
      </w:pPr>
      <w:r>
        <w:rPr>
          <w:rFonts w:hint="eastAsia"/>
          <w:szCs w:val="24"/>
        </w:rPr>
        <w:t>停车场接入服务平台，对每一种上报数据都</w:t>
      </w:r>
      <w:r>
        <w:rPr>
          <w:rFonts w:hint="eastAsia"/>
          <w:szCs w:val="24"/>
          <w:lang w:val="en-US" w:eastAsia="zh-CN"/>
        </w:rPr>
        <w:t>应</w:t>
      </w:r>
      <w:r>
        <w:rPr>
          <w:rFonts w:hint="eastAsia"/>
          <w:szCs w:val="24"/>
        </w:rPr>
        <w:t>给予响应，响应形式以指定长度的代码表示，称为响应码。</w:t>
      </w:r>
    </w:p>
    <w:p>
      <w:pPr>
        <w:numPr>
          <w:ilvl w:val="0"/>
          <w:numId w:val="0"/>
        </w:numPr>
        <w:spacing w:line="360" w:lineRule="auto"/>
        <w:ind w:firstLine="420" w:firstLineChars="0"/>
        <w:rPr>
          <w:rFonts w:hint="eastAsia"/>
          <w:szCs w:val="24"/>
        </w:rPr>
      </w:pPr>
      <w:r>
        <w:rPr>
          <w:rFonts w:hint="eastAsia"/>
          <w:szCs w:val="24"/>
        </w:rPr>
        <w:t>响应码应向数据发送者反馈本次数据上传的结果，用于数据发送者基于响应进行对上传数据后续的处理。包括对数据成功接收与存储、上传数据格式与业务逻辑的验证失败与原因</w:t>
      </w:r>
      <w:r>
        <w:rPr>
          <w:rFonts w:hint="eastAsia"/>
          <w:szCs w:val="24"/>
          <w:lang w:val="en-US" w:eastAsia="zh-CN"/>
        </w:rPr>
        <w:t>及</w:t>
      </w:r>
      <w:r>
        <w:rPr>
          <w:rFonts w:hint="eastAsia"/>
          <w:szCs w:val="24"/>
        </w:rPr>
        <w:t>上传数据权限异常。</w:t>
      </w:r>
    </w:p>
    <w:p>
      <w:pPr>
        <w:numPr>
          <w:ilvl w:val="0"/>
          <w:numId w:val="0"/>
        </w:numPr>
        <w:spacing w:line="360" w:lineRule="auto"/>
        <w:ind w:firstLine="420" w:firstLineChars="0"/>
        <w:rPr>
          <w:rFonts w:hint="eastAsia"/>
          <w:szCs w:val="24"/>
        </w:rPr>
      </w:pPr>
      <w:r>
        <w:rPr>
          <w:rFonts w:hint="eastAsia"/>
          <w:szCs w:val="24"/>
        </w:rPr>
        <w:t>响应码为长度为5~6位用数字，针对每一种数据上传处理结果定义对应的编码值，并形成对应的响应码字典，响应码定义如</w:t>
      </w:r>
      <w:r>
        <w:rPr>
          <w:rFonts w:hint="eastAsia"/>
          <w:szCs w:val="24"/>
          <w:lang w:eastAsia="zh-CN"/>
        </w:rPr>
        <w:t>表</w:t>
      </w:r>
      <w:r>
        <w:rPr>
          <w:rFonts w:hint="eastAsia"/>
          <w:szCs w:val="24"/>
        </w:rPr>
        <w:t>1所示：</w:t>
      </w:r>
    </w:p>
    <w:p>
      <w:pPr>
        <w:numPr>
          <w:ilvl w:val="0"/>
          <w:numId w:val="0"/>
        </w:numPr>
        <w:spacing w:line="360" w:lineRule="auto"/>
        <w:ind w:left="840" w:firstLine="0"/>
        <w:jc w:val="center"/>
        <w:rPr>
          <w:rFonts w:hint="eastAsia" w:ascii="黑体" w:hAnsi="黑体" w:eastAsia="黑体" w:cs="黑体"/>
          <w:szCs w:val="24"/>
        </w:rPr>
      </w:pPr>
      <w:r>
        <w:rPr>
          <w:rFonts w:hint="eastAsia" w:ascii="黑体" w:hAnsi="黑体" w:eastAsia="黑体" w:cs="黑体"/>
          <w:szCs w:val="24"/>
        </w:rPr>
        <w:t>表1</w:t>
      </w:r>
      <w:r>
        <w:rPr>
          <w:rFonts w:hint="eastAsia" w:ascii="黑体" w:hAnsi="黑体" w:eastAsia="黑体" w:cs="黑体"/>
          <w:szCs w:val="24"/>
          <w:lang w:val="en-US" w:eastAsia="zh-CN"/>
        </w:rPr>
        <w:t>　</w:t>
      </w:r>
      <w:r>
        <w:rPr>
          <w:rFonts w:hint="eastAsia" w:ascii="黑体" w:hAnsi="黑体" w:eastAsia="黑体" w:cs="黑体"/>
          <w:szCs w:val="24"/>
        </w:rPr>
        <w:t>响应码设计参考</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218"/>
        <w:gridCol w:w="6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218" w:type="dxa"/>
            <w:noWrap w:val="0"/>
            <w:tcMar>
              <w:top w:w="0" w:type="dxa"/>
              <w:left w:w="105" w:type="dxa"/>
              <w:bottom w:w="0" w:type="dxa"/>
              <w:right w:w="105" w:type="dxa"/>
            </w:tcMar>
            <w:vAlign w:val="center"/>
          </w:tcPr>
          <w:p>
            <w:pPr>
              <w:pStyle w:val="8"/>
              <w:spacing w:before="0" w:after="120" w:line="360" w:lineRule="auto"/>
              <w:jc w:val="center"/>
              <w:rPr>
                <w:rFonts w:hint="eastAsia" w:ascii="宋体" w:hAnsi="宋体" w:eastAsia="宋体" w:cs="宋体"/>
                <w:b w:val="0"/>
                <w:bCs/>
                <w:sz w:val="18"/>
                <w:szCs w:val="18"/>
              </w:rPr>
            </w:pPr>
            <w:r>
              <w:rPr>
                <w:rStyle w:val="12"/>
                <w:rFonts w:hint="eastAsia" w:ascii="宋体" w:hAnsi="宋体" w:eastAsia="宋体" w:cs="宋体"/>
                <w:b w:val="0"/>
                <w:bCs/>
                <w:sz w:val="18"/>
                <w:szCs w:val="18"/>
              </w:rPr>
              <w:t>返回码</w:t>
            </w:r>
          </w:p>
        </w:tc>
        <w:tc>
          <w:tcPr>
            <w:tcW w:w="6072" w:type="dxa"/>
            <w:noWrap w:val="0"/>
            <w:tcMar>
              <w:top w:w="0" w:type="dxa"/>
              <w:left w:w="105" w:type="dxa"/>
              <w:bottom w:w="0" w:type="dxa"/>
              <w:right w:w="105" w:type="dxa"/>
            </w:tcMar>
            <w:vAlign w:val="center"/>
          </w:tcPr>
          <w:p>
            <w:pPr>
              <w:pStyle w:val="8"/>
              <w:spacing w:before="0" w:after="120" w:line="360" w:lineRule="auto"/>
              <w:jc w:val="center"/>
              <w:rPr>
                <w:rFonts w:hint="eastAsia" w:ascii="宋体" w:hAnsi="宋体" w:eastAsia="宋体" w:cs="宋体"/>
                <w:b w:val="0"/>
                <w:bCs/>
                <w:sz w:val="18"/>
                <w:szCs w:val="18"/>
              </w:rPr>
            </w:pPr>
            <w:r>
              <w:rPr>
                <w:rStyle w:val="12"/>
                <w:rFonts w:hint="eastAsia" w:ascii="宋体" w:hAnsi="宋体" w:eastAsia="宋体" w:cs="宋体"/>
                <w:b w:val="0"/>
                <w:bCs/>
                <w:sz w:val="18"/>
                <w:szCs w:val="18"/>
              </w:rPr>
              <w:t>返回描述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218" w:type="dxa"/>
            <w:noWrap w:val="0"/>
            <w:tcMar>
              <w:top w:w="0" w:type="dxa"/>
              <w:left w:w="105" w:type="dxa"/>
              <w:bottom w:w="0" w:type="dxa"/>
              <w:right w:w="105" w:type="dxa"/>
            </w:tcMar>
            <w:vAlign w:val="center"/>
          </w:tcPr>
          <w:p>
            <w:pPr>
              <w:pStyle w:val="8"/>
              <w:spacing w:before="0" w:after="120" w:line="360" w:lineRule="auto"/>
              <w:rPr>
                <w:rFonts w:hint="eastAsia" w:ascii="宋体" w:hAnsi="宋体" w:eastAsia="宋体" w:cs="宋体"/>
                <w:sz w:val="18"/>
                <w:szCs w:val="18"/>
              </w:rPr>
            </w:pPr>
            <w:r>
              <w:rPr>
                <w:rStyle w:val="12"/>
                <w:rFonts w:hint="eastAsia" w:ascii="宋体" w:hAnsi="宋体" w:eastAsia="宋体" w:cs="宋体"/>
                <w:sz w:val="18"/>
                <w:szCs w:val="18"/>
              </w:rPr>
              <w:t>000000</w:t>
            </w:r>
          </w:p>
        </w:tc>
        <w:tc>
          <w:tcPr>
            <w:tcW w:w="6072" w:type="dxa"/>
            <w:noWrap w:val="0"/>
            <w:tcMar>
              <w:top w:w="0" w:type="dxa"/>
              <w:left w:w="105" w:type="dxa"/>
              <w:bottom w:w="0" w:type="dxa"/>
              <w:right w:w="105" w:type="dxa"/>
            </w:tcMar>
            <w:vAlign w:val="center"/>
          </w:tcPr>
          <w:p>
            <w:pPr>
              <w:pStyle w:val="8"/>
              <w:spacing w:before="0" w:after="120" w:line="360" w:lineRule="auto"/>
              <w:rPr>
                <w:rFonts w:hint="eastAsia" w:ascii="宋体" w:hAnsi="宋体" w:eastAsia="宋体" w:cs="宋体"/>
                <w:sz w:val="18"/>
                <w:szCs w:val="18"/>
              </w:rPr>
            </w:pPr>
            <w:r>
              <w:rPr>
                <w:rFonts w:hint="eastAsia" w:ascii="宋体" w:hAnsi="宋体" w:eastAsia="宋体" w:cs="宋体"/>
                <w:sz w:val="18"/>
                <w:szCs w:val="18"/>
              </w:rPr>
              <w:t>成功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218" w:type="dxa"/>
            <w:noWrap w:val="0"/>
            <w:tcMar>
              <w:top w:w="0" w:type="dxa"/>
              <w:left w:w="105" w:type="dxa"/>
              <w:bottom w:w="0" w:type="dxa"/>
              <w:right w:w="105" w:type="dxa"/>
            </w:tcMar>
            <w:vAlign w:val="center"/>
          </w:tcPr>
          <w:p>
            <w:pPr>
              <w:pStyle w:val="8"/>
              <w:spacing w:before="0" w:after="120" w:line="360" w:lineRule="auto"/>
              <w:rPr>
                <w:rFonts w:hint="eastAsia" w:ascii="宋体" w:hAnsi="宋体" w:eastAsia="宋体" w:cs="宋体"/>
                <w:sz w:val="18"/>
                <w:szCs w:val="18"/>
              </w:rPr>
            </w:pPr>
            <w:r>
              <w:rPr>
                <w:rStyle w:val="12"/>
                <w:rFonts w:hint="eastAsia" w:ascii="宋体" w:hAnsi="宋体" w:eastAsia="宋体" w:cs="宋体"/>
                <w:sz w:val="18"/>
                <w:szCs w:val="18"/>
              </w:rPr>
              <w:t>00001</w:t>
            </w:r>
          </w:p>
        </w:tc>
        <w:tc>
          <w:tcPr>
            <w:tcW w:w="6072" w:type="dxa"/>
            <w:noWrap w:val="0"/>
            <w:tcMar>
              <w:top w:w="0" w:type="dxa"/>
              <w:left w:w="105" w:type="dxa"/>
              <w:bottom w:w="0" w:type="dxa"/>
              <w:right w:w="105" w:type="dxa"/>
            </w:tcMar>
            <w:vAlign w:val="center"/>
          </w:tcPr>
          <w:p>
            <w:pPr>
              <w:pStyle w:val="8"/>
              <w:spacing w:before="0" w:after="120" w:line="360" w:lineRule="auto"/>
              <w:rPr>
                <w:rFonts w:hint="eastAsia" w:ascii="宋体" w:hAnsi="宋体" w:eastAsia="宋体" w:cs="宋体"/>
                <w:sz w:val="18"/>
                <w:szCs w:val="18"/>
              </w:rPr>
            </w:pPr>
            <w:r>
              <w:rPr>
                <w:rFonts w:hint="eastAsia" w:ascii="宋体" w:hAnsi="宋体" w:eastAsia="宋体" w:cs="宋体"/>
                <w:sz w:val="18"/>
                <w:szCs w:val="18"/>
              </w:rPr>
              <w:t>请求参数入场时间格式有误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218" w:type="dxa"/>
            <w:noWrap w:val="0"/>
            <w:tcMar>
              <w:top w:w="0" w:type="dxa"/>
              <w:left w:w="105" w:type="dxa"/>
              <w:bottom w:w="0" w:type="dxa"/>
              <w:right w:w="105" w:type="dxa"/>
            </w:tcMar>
            <w:vAlign w:val="center"/>
          </w:tcPr>
          <w:p>
            <w:pPr>
              <w:pStyle w:val="8"/>
              <w:spacing w:before="0" w:after="120" w:line="360" w:lineRule="auto"/>
              <w:rPr>
                <w:rFonts w:hint="eastAsia" w:ascii="宋体" w:hAnsi="宋体" w:eastAsia="宋体" w:cs="宋体"/>
                <w:sz w:val="18"/>
                <w:szCs w:val="18"/>
              </w:rPr>
            </w:pPr>
            <w:r>
              <w:rPr>
                <w:rStyle w:val="12"/>
                <w:rFonts w:hint="eastAsia" w:ascii="宋体" w:hAnsi="宋体" w:eastAsia="宋体" w:cs="宋体"/>
                <w:sz w:val="18"/>
                <w:szCs w:val="18"/>
              </w:rPr>
              <w:t>00002</w:t>
            </w:r>
          </w:p>
        </w:tc>
        <w:tc>
          <w:tcPr>
            <w:tcW w:w="6072" w:type="dxa"/>
            <w:noWrap w:val="0"/>
            <w:tcMar>
              <w:top w:w="0" w:type="dxa"/>
              <w:left w:w="105" w:type="dxa"/>
              <w:bottom w:w="0" w:type="dxa"/>
              <w:right w:w="105" w:type="dxa"/>
            </w:tcMar>
            <w:vAlign w:val="center"/>
          </w:tcPr>
          <w:p>
            <w:pPr>
              <w:pStyle w:val="8"/>
              <w:spacing w:before="0" w:after="120" w:line="360" w:lineRule="auto"/>
              <w:rPr>
                <w:rFonts w:hint="eastAsia" w:ascii="宋体" w:hAnsi="宋体" w:eastAsia="宋体" w:cs="宋体"/>
                <w:sz w:val="18"/>
                <w:szCs w:val="18"/>
              </w:rPr>
            </w:pPr>
            <w:r>
              <w:rPr>
                <w:rFonts w:hint="eastAsia" w:ascii="宋体" w:hAnsi="宋体" w:eastAsia="宋体" w:cs="宋体"/>
                <w:sz w:val="18"/>
                <w:szCs w:val="18"/>
              </w:rPr>
              <w:t>请求参数卡号超出字符范围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218" w:type="dxa"/>
            <w:noWrap w:val="0"/>
            <w:tcMar>
              <w:top w:w="0" w:type="dxa"/>
              <w:left w:w="105" w:type="dxa"/>
              <w:bottom w:w="0" w:type="dxa"/>
              <w:right w:w="105" w:type="dxa"/>
            </w:tcMar>
            <w:vAlign w:val="center"/>
          </w:tcPr>
          <w:p>
            <w:pPr>
              <w:pStyle w:val="8"/>
              <w:spacing w:before="0" w:after="120" w:line="360" w:lineRule="auto"/>
              <w:rPr>
                <w:rFonts w:hint="eastAsia" w:ascii="宋体" w:hAnsi="宋体" w:eastAsia="宋体" w:cs="宋体"/>
                <w:sz w:val="18"/>
                <w:szCs w:val="18"/>
              </w:rPr>
            </w:pPr>
            <w:r>
              <w:rPr>
                <w:rStyle w:val="12"/>
                <w:rFonts w:hint="eastAsia" w:ascii="宋体" w:hAnsi="宋体" w:eastAsia="宋体" w:cs="宋体"/>
                <w:sz w:val="18"/>
                <w:szCs w:val="18"/>
              </w:rPr>
              <w:t>00003</w:t>
            </w:r>
          </w:p>
        </w:tc>
        <w:tc>
          <w:tcPr>
            <w:tcW w:w="6072" w:type="dxa"/>
            <w:noWrap w:val="0"/>
            <w:tcMar>
              <w:top w:w="0" w:type="dxa"/>
              <w:left w:w="105" w:type="dxa"/>
              <w:bottom w:w="0" w:type="dxa"/>
              <w:right w:w="105" w:type="dxa"/>
            </w:tcMar>
            <w:vAlign w:val="center"/>
          </w:tcPr>
          <w:p>
            <w:pPr>
              <w:pStyle w:val="8"/>
              <w:spacing w:before="0" w:after="120" w:line="360" w:lineRule="auto"/>
              <w:rPr>
                <w:rFonts w:hint="eastAsia" w:ascii="宋体" w:hAnsi="宋体" w:eastAsia="宋体" w:cs="宋体"/>
                <w:sz w:val="18"/>
                <w:szCs w:val="18"/>
              </w:rPr>
            </w:pPr>
            <w:r>
              <w:rPr>
                <w:rFonts w:hint="eastAsia" w:ascii="宋体" w:hAnsi="宋体" w:eastAsia="宋体" w:cs="宋体"/>
                <w:sz w:val="18"/>
                <w:szCs w:val="18"/>
              </w:rPr>
              <w:t>版本号不匹配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218" w:type="dxa"/>
            <w:noWrap w:val="0"/>
            <w:tcMar>
              <w:top w:w="0" w:type="dxa"/>
              <w:left w:w="105" w:type="dxa"/>
              <w:bottom w:w="0" w:type="dxa"/>
              <w:right w:w="105" w:type="dxa"/>
            </w:tcMar>
            <w:vAlign w:val="center"/>
          </w:tcPr>
          <w:p>
            <w:pPr>
              <w:pStyle w:val="8"/>
              <w:spacing w:before="0" w:after="120" w:line="360" w:lineRule="auto"/>
              <w:rPr>
                <w:rFonts w:hint="eastAsia" w:ascii="宋体" w:hAnsi="宋体" w:eastAsia="宋体" w:cs="宋体"/>
                <w:sz w:val="18"/>
                <w:szCs w:val="18"/>
              </w:rPr>
            </w:pPr>
            <w:r>
              <w:rPr>
                <w:rStyle w:val="12"/>
                <w:rFonts w:hint="eastAsia" w:ascii="宋体" w:hAnsi="宋体" w:eastAsia="宋体" w:cs="宋体"/>
                <w:sz w:val="18"/>
                <w:szCs w:val="18"/>
              </w:rPr>
              <w:t>00004</w:t>
            </w:r>
          </w:p>
        </w:tc>
        <w:tc>
          <w:tcPr>
            <w:tcW w:w="6072" w:type="dxa"/>
            <w:noWrap w:val="0"/>
            <w:tcMar>
              <w:top w:w="0" w:type="dxa"/>
              <w:left w:w="105" w:type="dxa"/>
              <w:bottom w:w="0" w:type="dxa"/>
              <w:right w:w="105" w:type="dxa"/>
            </w:tcMar>
            <w:vAlign w:val="center"/>
          </w:tcPr>
          <w:p>
            <w:pPr>
              <w:pStyle w:val="8"/>
              <w:spacing w:before="0" w:after="120" w:line="360" w:lineRule="auto"/>
              <w:rPr>
                <w:rFonts w:hint="eastAsia" w:ascii="宋体" w:hAnsi="宋体" w:eastAsia="宋体" w:cs="宋体"/>
                <w:sz w:val="18"/>
                <w:szCs w:val="18"/>
              </w:rPr>
            </w:pPr>
            <w:r>
              <w:rPr>
                <w:rFonts w:hint="eastAsia" w:ascii="宋体" w:hAnsi="宋体" w:eastAsia="宋体" w:cs="宋体"/>
                <w:sz w:val="18"/>
                <w:szCs w:val="18"/>
              </w:rPr>
              <w:t>请求参数停车类型编码传入有误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218" w:type="dxa"/>
            <w:noWrap w:val="0"/>
            <w:tcMar>
              <w:top w:w="0" w:type="dxa"/>
              <w:left w:w="105" w:type="dxa"/>
              <w:bottom w:w="0" w:type="dxa"/>
              <w:right w:w="105" w:type="dxa"/>
            </w:tcMar>
            <w:vAlign w:val="center"/>
          </w:tcPr>
          <w:p>
            <w:pPr>
              <w:pStyle w:val="8"/>
              <w:spacing w:before="0" w:after="120" w:line="360" w:lineRule="auto"/>
              <w:rPr>
                <w:rFonts w:hint="eastAsia" w:ascii="宋体" w:hAnsi="宋体" w:eastAsia="宋体" w:cs="宋体"/>
                <w:sz w:val="18"/>
                <w:szCs w:val="18"/>
              </w:rPr>
            </w:pPr>
            <w:r>
              <w:rPr>
                <w:rStyle w:val="12"/>
                <w:rFonts w:hint="eastAsia" w:ascii="宋体" w:hAnsi="宋体" w:eastAsia="宋体" w:cs="宋体"/>
                <w:sz w:val="18"/>
                <w:szCs w:val="18"/>
              </w:rPr>
              <w:t>00005</w:t>
            </w:r>
          </w:p>
        </w:tc>
        <w:tc>
          <w:tcPr>
            <w:tcW w:w="6072" w:type="dxa"/>
            <w:noWrap w:val="0"/>
            <w:tcMar>
              <w:top w:w="0" w:type="dxa"/>
              <w:left w:w="105" w:type="dxa"/>
              <w:bottom w:w="0" w:type="dxa"/>
              <w:right w:w="105" w:type="dxa"/>
            </w:tcMar>
            <w:vAlign w:val="center"/>
          </w:tcPr>
          <w:p>
            <w:pPr>
              <w:pStyle w:val="8"/>
              <w:spacing w:before="0" w:after="120" w:line="360" w:lineRule="auto"/>
              <w:rPr>
                <w:rFonts w:hint="eastAsia" w:ascii="宋体" w:hAnsi="宋体" w:eastAsia="宋体" w:cs="宋体"/>
                <w:sz w:val="18"/>
                <w:szCs w:val="18"/>
              </w:rPr>
            </w:pPr>
            <w:r>
              <w:rPr>
                <w:rFonts w:hint="eastAsia" w:ascii="宋体" w:hAnsi="宋体" w:eastAsia="宋体" w:cs="宋体"/>
                <w:sz w:val="18"/>
                <w:szCs w:val="18"/>
              </w:rPr>
              <w:t>请求参数通行方式编码传入有误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218" w:type="dxa"/>
            <w:noWrap w:val="0"/>
            <w:tcMar>
              <w:top w:w="0" w:type="dxa"/>
              <w:left w:w="105" w:type="dxa"/>
              <w:bottom w:w="0" w:type="dxa"/>
              <w:right w:w="105" w:type="dxa"/>
            </w:tcMar>
            <w:vAlign w:val="center"/>
          </w:tcPr>
          <w:p>
            <w:pPr>
              <w:pStyle w:val="8"/>
              <w:spacing w:before="0" w:after="120" w:line="360" w:lineRule="auto"/>
              <w:rPr>
                <w:rFonts w:hint="eastAsia" w:ascii="宋体" w:hAnsi="宋体" w:eastAsia="宋体" w:cs="宋体"/>
                <w:sz w:val="18"/>
                <w:szCs w:val="18"/>
              </w:rPr>
            </w:pPr>
            <w:r>
              <w:rPr>
                <w:rStyle w:val="12"/>
                <w:rFonts w:hint="eastAsia" w:ascii="宋体" w:hAnsi="宋体" w:eastAsia="宋体" w:cs="宋体"/>
                <w:sz w:val="18"/>
                <w:szCs w:val="18"/>
              </w:rPr>
              <w:t>00006</w:t>
            </w:r>
          </w:p>
        </w:tc>
        <w:tc>
          <w:tcPr>
            <w:tcW w:w="6072" w:type="dxa"/>
            <w:noWrap w:val="0"/>
            <w:tcMar>
              <w:top w:w="0" w:type="dxa"/>
              <w:left w:w="105" w:type="dxa"/>
              <w:bottom w:w="0" w:type="dxa"/>
              <w:right w:w="105" w:type="dxa"/>
            </w:tcMar>
            <w:vAlign w:val="center"/>
          </w:tcPr>
          <w:p>
            <w:pPr>
              <w:pStyle w:val="8"/>
              <w:spacing w:before="0" w:after="120" w:line="360" w:lineRule="auto"/>
              <w:rPr>
                <w:rFonts w:hint="eastAsia" w:ascii="宋体" w:hAnsi="宋体" w:eastAsia="宋体" w:cs="宋体"/>
                <w:sz w:val="18"/>
                <w:szCs w:val="18"/>
              </w:rPr>
            </w:pPr>
            <w:r>
              <w:rPr>
                <w:rFonts w:hint="eastAsia" w:ascii="宋体" w:hAnsi="宋体" w:eastAsia="宋体" w:cs="宋体"/>
                <w:sz w:val="18"/>
                <w:szCs w:val="18"/>
              </w:rPr>
              <w:t>请求参数车牌颜色编码传入有误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218" w:type="dxa"/>
            <w:noWrap w:val="0"/>
            <w:tcMar>
              <w:top w:w="0" w:type="dxa"/>
              <w:left w:w="105" w:type="dxa"/>
              <w:bottom w:w="0" w:type="dxa"/>
              <w:right w:w="105" w:type="dxa"/>
            </w:tcMar>
            <w:vAlign w:val="center"/>
          </w:tcPr>
          <w:p>
            <w:pPr>
              <w:pStyle w:val="8"/>
              <w:spacing w:before="0" w:after="120" w:line="360" w:lineRule="auto"/>
              <w:rPr>
                <w:rFonts w:hint="eastAsia" w:ascii="宋体" w:hAnsi="宋体" w:eastAsia="宋体" w:cs="宋体"/>
                <w:sz w:val="18"/>
                <w:szCs w:val="18"/>
              </w:rPr>
            </w:pPr>
            <w:r>
              <w:rPr>
                <w:rStyle w:val="12"/>
                <w:rFonts w:hint="eastAsia" w:ascii="宋体" w:hAnsi="宋体" w:eastAsia="宋体" w:cs="宋体"/>
                <w:sz w:val="18"/>
                <w:szCs w:val="18"/>
              </w:rPr>
              <w:t>00007</w:t>
            </w:r>
          </w:p>
        </w:tc>
        <w:tc>
          <w:tcPr>
            <w:tcW w:w="6072" w:type="dxa"/>
            <w:noWrap w:val="0"/>
            <w:tcMar>
              <w:top w:w="0" w:type="dxa"/>
              <w:left w:w="105" w:type="dxa"/>
              <w:bottom w:w="0" w:type="dxa"/>
              <w:right w:w="105" w:type="dxa"/>
            </w:tcMar>
            <w:vAlign w:val="center"/>
          </w:tcPr>
          <w:p>
            <w:pPr>
              <w:pStyle w:val="8"/>
              <w:spacing w:before="0" w:after="120" w:line="360" w:lineRule="auto"/>
              <w:rPr>
                <w:rFonts w:hint="eastAsia" w:ascii="宋体" w:hAnsi="宋体" w:eastAsia="宋体" w:cs="宋体"/>
                <w:sz w:val="18"/>
                <w:szCs w:val="18"/>
              </w:rPr>
            </w:pPr>
            <w:r>
              <w:rPr>
                <w:rFonts w:hint="eastAsia" w:ascii="宋体" w:hAnsi="宋体" w:eastAsia="宋体" w:cs="宋体"/>
                <w:sz w:val="18"/>
                <w:szCs w:val="18"/>
              </w:rPr>
              <w:t>请求参数车辆类型编码传入有误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218" w:type="dxa"/>
            <w:noWrap w:val="0"/>
            <w:tcMar>
              <w:top w:w="0" w:type="dxa"/>
              <w:left w:w="105" w:type="dxa"/>
              <w:bottom w:w="0" w:type="dxa"/>
              <w:right w:w="105" w:type="dxa"/>
            </w:tcMar>
            <w:vAlign w:val="center"/>
          </w:tcPr>
          <w:p>
            <w:pPr>
              <w:pStyle w:val="8"/>
              <w:spacing w:before="0" w:after="120" w:line="360" w:lineRule="auto"/>
              <w:rPr>
                <w:rFonts w:hint="eastAsia" w:ascii="宋体" w:hAnsi="宋体" w:eastAsia="宋体" w:cs="宋体"/>
                <w:sz w:val="18"/>
                <w:szCs w:val="18"/>
              </w:rPr>
            </w:pPr>
            <w:r>
              <w:rPr>
                <w:rStyle w:val="12"/>
                <w:rFonts w:hint="eastAsia" w:ascii="宋体" w:hAnsi="宋体" w:eastAsia="宋体" w:cs="宋体"/>
                <w:sz w:val="18"/>
                <w:szCs w:val="18"/>
              </w:rPr>
              <w:t>00008</w:t>
            </w:r>
          </w:p>
        </w:tc>
        <w:tc>
          <w:tcPr>
            <w:tcW w:w="6072" w:type="dxa"/>
            <w:noWrap w:val="0"/>
            <w:tcMar>
              <w:top w:w="0" w:type="dxa"/>
              <w:left w:w="105" w:type="dxa"/>
              <w:bottom w:w="0" w:type="dxa"/>
              <w:right w:w="105" w:type="dxa"/>
            </w:tcMar>
            <w:vAlign w:val="center"/>
          </w:tcPr>
          <w:p>
            <w:pPr>
              <w:pStyle w:val="8"/>
              <w:spacing w:before="0" w:after="120" w:line="360" w:lineRule="auto"/>
              <w:rPr>
                <w:rFonts w:hint="eastAsia" w:ascii="宋体" w:hAnsi="宋体" w:eastAsia="宋体" w:cs="宋体"/>
                <w:sz w:val="18"/>
                <w:szCs w:val="18"/>
              </w:rPr>
            </w:pPr>
            <w:r>
              <w:rPr>
                <w:rFonts w:hint="eastAsia" w:ascii="宋体" w:hAnsi="宋体" w:eastAsia="宋体" w:cs="宋体"/>
                <w:sz w:val="18"/>
                <w:szCs w:val="18"/>
              </w:rPr>
              <w:t>请求参数入场时间大于出场时间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218" w:type="dxa"/>
            <w:noWrap w:val="0"/>
            <w:tcMar>
              <w:top w:w="0" w:type="dxa"/>
              <w:left w:w="105" w:type="dxa"/>
              <w:bottom w:w="0" w:type="dxa"/>
              <w:right w:w="105" w:type="dxa"/>
            </w:tcMar>
            <w:vAlign w:val="center"/>
          </w:tcPr>
          <w:p>
            <w:pPr>
              <w:pStyle w:val="8"/>
              <w:spacing w:before="0" w:after="120" w:line="360" w:lineRule="auto"/>
              <w:rPr>
                <w:rFonts w:hint="eastAsia" w:ascii="宋体" w:hAnsi="宋体" w:eastAsia="宋体" w:cs="宋体"/>
                <w:sz w:val="18"/>
                <w:szCs w:val="18"/>
              </w:rPr>
            </w:pPr>
            <w:r>
              <w:rPr>
                <w:rStyle w:val="12"/>
                <w:rFonts w:hint="eastAsia" w:ascii="宋体" w:hAnsi="宋体" w:eastAsia="宋体" w:cs="宋体"/>
                <w:sz w:val="18"/>
                <w:szCs w:val="18"/>
              </w:rPr>
              <w:t>00009</w:t>
            </w:r>
          </w:p>
        </w:tc>
        <w:tc>
          <w:tcPr>
            <w:tcW w:w="6072" w:type="dxa"/>
            <w:noWrap w:val="0"/>
            <w:tcMar>
              <w:top w:w="0" w:type="dxa"/>
              <w:left w:w="105" w:type="dxa"/>
              <w:bottom w:w="0" w:type="dxa"/>
              <w:right w:w="105" w:type="dxa"/>
            </w:tcMar>
            <w:vAlign w:val="center"/>
          </w:tcPr>
          <w:p>
            <w:pPr>
              <w:pStyle w:val="8"/>
              <w:spacing w:before="0" w:after="120" w:line="360" w:lineRule="auto"/>
              <w:rPr>
                <w:rFonts w:hint="eastAsia" w:ascii="宋体" w:hAnsi="宋体" w:eastAsia="宋体" w:cs="宋体"/>
                <w:sz w:val="18"/>
                <w:szCs w:val="18"/>
              </w:rPr>
            </w:pPr>
            <w:r>
              <w:rPr>
                <w:rFonts w:hint="eastAsia" w:ascii="宋体" w:hAnsi="宋体" w:eastAsia="宋体" w:cs="宋体"/>
                <w:sz w:val="18"/>
                <w:szCs w:val="18"/>
              </w:rPr>
              <w:t>实收金额与应收、折扣金额不相符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218" w:type="dxa"/>
            <w:noWrap w:val="0"/>
            <w:tcMar>
              <w:top w:w="0" w:type="dxa"/>
              <w:left w:w="105" w:type="dxa"/>
              <w:bottom w:w="0" w:type="dxa"/>
              <w:right w:w="105" w:type="dxa"/>
            </w:tcMar>
            <w:vAlign w:val="center"/>
          </w:tcPr>
          <w:p>
            <w:pPr>
              <w:pStyle w:val="8"/>
              <w:spacing w:before="0" w:after="120" w:line="360" w:lineRule="auto"/>
              <w:rPr>
                <w:rFonts w:hint="eastAsia" w:ascii="宋体" w:hAnsi="宋体" w:eastAsia="宋体" w:cs="宋体"/>
                <w:sz w:val="18"/>
                <w:szCs w:val="18"/>
              </w:rPr>
            </w:pPr>
            <w:r>
              <w:rPr>
                <w:rStyle w:val="12"/>
                <w:rFonts w:hint="eastAsia" w:ascii="宋体" w:hAnsi="宋体" w:eastAsia="宋体" w:cs="宋体"/>
                <w:sz w:val="18"/>
                <w:szCs w:val="18"/>
              </w:rPr>
              <w:t>00010</w:t>
            </w:r>
          </w:p>
        </w:tc>
        <w:tc>
          <w:tcPr>
            <w:tcW w:w="6072" w:type="dxa"/>
            <w:noWrap w:val="0"/>
            <w:tcMar>
              <w:top w:w="0" w:type="dxa"/>
              <w:left w:w="105" w:type="dxa"/>
              <w:bottom w:w="0" w:type="dxa"/>
              <w:right w:w="105" w:type="dxa"/>
            </w:tcMar>
            <w:vAlign w:val="center"/>
          </w:tcPr>
          <w:p>
            <w:pPr>
              <w:pStyle w:val="8"/>
              <w:spacing w:before="0" w:after="120" w:line="360" w:lineRule="auto"/>
              <w:rPr>
                <w:rFonts w:hint="eastAsia" w:ascii="宋体" w:hAnsi="宋体" w:eastAsia="宋体" w:cs="宋体"/>
                <w:sz w:val="18"/>
                <w:szCs w:val="18"/>
              </w:rPr>
            </w:pPr>
            <w:r>
              <w:rPr>
                <w:rFonts w:hint="eastAsia" w:ascii="宋体" w:hAnsi="宋体" w:eastAsia="宋体" w:cs="宋体"/>
                <w:sz w:val="18"/>
                <w:szCs w:val="18"/>
              </w:rPr>
              <w:t>ETC交易，卡物理号字段为空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218" w:type="dxa"/>
            <w:noWrap w:val="0"/>
            <w:tcMar>
              <w:top w:w="0" w:type="dxa"/>
              <w:left w:w="105" w:type="dxa"/>
              <w:bottom w:w="0" w:type="dxa"/>
              <w:right w:w="105" w:type="dxa"/>
            </w:tcMar>
            <w:vAlign w:val="center"/>
          </w:tcPr>
          <w:p>
            <w:pPr>
              <w:pStyle w:val="8"/>
              <w:spacing w:before="0" w:after="120" w:line="360" w:lineRule="auto"/>
              <w:rPr>
                <w:rFonts w:hint="eastAsia" w:ascii="宋体" w:hAnsi="宋体" w:eastAsia="宋体" w:cs="宋体"/>
                <w:sz w:val="18"/>
                <w:szCs w:val="18"/>
              </w:rPr>
            </w:pPr>
            <w:r>
              <w:rPr>
                <w:rStyle w:val="12"/>
                <w:rFonts w:hint="eastAsia" w:ascii="宋体" w:hAnsi="宋体" w:eastAsia="宋体" w:cs="宋体"/>
                <w:sz w:val="18"/>
                <w:szCs w:val="18"/>
              </w:rPr>
              <w:t>00011</w:t>
            </w:r>
          </w:p>
        </w:tc>
        <w:tc>
          <w:tcPr>
            <w:tcW w:w="6072" w:type="dxa"/>
            <w:noWrap w:val="0"/>
            <w:tcMar>
              <w:top w:w="0" w:type="dxa"/>
              <w:left w:w="105" w:type="dxa"/>
              <w:bottom w:w="0" w:type="dxa"/>
              <w:right w:w="105" w:type="dxa"/>
            </w:tcMar>
            <w:vAlign w:val="center"/>
          </w:tcPr>
          <w:p>
            <w:pPr>
              <w:pStyle w:val="8"/>
              <w:spacing w:before="0" w:after="120" w:line="360" w:lineRule="auto"/>
              <w:rPr>
                <w:rFonts w:hint="eastAsia" w:ascii="宋体" w:hAnsi="宋体" w:eastAsia="宋体" w:cs="宋体"/>
                <w:sz w:val="18"/>
                <w:szCs w:val="18"/>
              </w:rPr>
            </w:pPr>
            <w:r>
              <w:rPr>
                <w:rFonts w:hint="eastAsia" w:ascii="宋体" w:hAnsi="宋体" w:eastAsia="宋体" w:cs="宋体"/>
                <w:sz w:val="18"/>
                <w:szCs w:val="18"/>
              </w:rPr>
              <w:t>ETC交易，PSAM卡编号字段为空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218" w:type="dxa"/>
            <w:noWrap w:val="0"/>
            <w:tcMar>
              <w:top w:w="0" w:type="dxa"/>
              <w:left w:w="105" w:type="dxa"/>
              <w:bottom w:w="0" w:type="dxa"/>
              <w:right w:w="105" w:type="dxa"/>
            </w:tcMar>
            <w:vAlign w:val="center"/>
          </w:tcPr>
          <w:p>
            <w:pPr>
              <w:pStyle w:val="8"/>
              <w:spacing w:before="0" w:after="120" w:line="360" w:lineRule="auto"/>
              <w:rPr>
                <w:rFonts w:hint="eastAsia" w:ascii="宋体" w:hAnsi="宋体" w:eastAsia="宋体" w:cs="宋体"/>
                <w:sz w:val="18"/>
                <w:szCs w:val="18"/>
              </w:rPr>
            </w:pPr>
            <w:r>
              <w:rPr>
                <w:rStyle w:val="12"/>
                <w:rFonts w:hint="eastAsia" w:ascii="宋体" w:hAnsi="宋体" w:eastAsia="宋体" w:cs="宋体"/>
                <w:sz w:val="18"/>
                <w:szCs w:val="18"/>
              </w:rPr>
              <w:t>00012</w:t>
            </w:r>
          </w:p>
        </w:tc>
        <w:tc>
          <w:tcPr>
            <w:tcW w:w="6072" w:type="dxa"/>
            <w:noWrap w:val="0"/>
            <w:tcMar>
              <w:top w:w="0" w:type="dxa"/>
              <w:left w:w="105" w:type="dxa"/>
              <w:bottom w:w="0" w:type="dxa"/>
              <w:right w:w="105" w:type="dxa"/>
            </w:tcMar>
            <w:vAlign w:val="center"/>
          </w:tcPr>
          <w:p>
            <w:pPr>
              <w:pStyle w:val="8"/>
              <w:spacing w:before="0" w:after="120" w:line="360" w:lineRule="auto"/>
              <w:rPr>
                <w:rFonts w:hint="eastAsia" w:ascii="宋体" w:hAnsi="宋体" w:eastAsia="宋体" w:cs="宋体"/>
                <w:sz w:val="18"/>
                <w:szCs w:val="18"/>
              </w:rPr>
            </w:pPr>
            <w:r>
              <w:rPr>
                <w:rFonts w:hint="eastAsia" w:ascii="宋体" w:hAnsi="宋体" w:eastAsia="宋体" w:cs="宋体"/>
                <w:sz w:val="18"/>
                <w:szCs w:val="18"/>
              </w:rPr>
              <w:t>ETC交易，终端编号字段为空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218" w:type="dxa"/>
            <w:noWrap w:val="0"/>
            <w:tcMar>
              <w:top w:w="0" w:type="dxa"/>
              <w:left w:w="105" w:type="dxa"/>
              <w:bottom w:w="0" w:type="dxa"/>
              <w:right w:w="105" w:type="dxa"/>
            </w:tcMar>
            <w:vAlign w:val="center"/>
          </w:tcPr>
          <w:p>
            <w:pPr>
              <w:pStyle w:val="8"/>
              <w:spacing w:before="0" w:after="120" w:line="360" w:lineRule="auto"/>
              <w:rPr>
                <w:rFonts w:hint="eastAsia" w:ascii="宋体" w:hAnsi="宋体" w:eastAsia="宋体" w:cs="宋体"/>
                <w:sz w:val="18"/>
                <w:szCs w:val="18"/>
              </w:rPr>
            </w:pPr>
            <w:r>
              <w:rPr>
                <w:rStyle w:val="12"/>
                <w:rFonts w:hint="eastAsia" w:ascii="宋体" w:hAnsi="宋体" w:eastAsia="宋体" w:cs="宋体"/>
                <w:sz w:val="18"/>
                <w:szCs w:val="18"/>
              </w:rPr>
              <w:t>00013</w:t>
            </w:r>
          </w:p>
        </w:tc>
        <w:tc>
          <w:tcPr>
            <w:tcW w:w="6072" w:type="dxa"/>
            <w:noWrap w:val="0"/>
            <w:tcMar>
              <w:top w:w="0" w:type="dxa"/>
              <w:left w:w="105" w:type="dxa"/>
              <w:bottom w:w="0" w:type="dxa"/>
              <w:right w:w="105" w:type="dxa"/>
            </w:tcMar>
            <w:vAlign w:val="center"/>
          </w:tcPr>
          <w:p>
            <w:pPr>
              <w:pStyle w:val="8"/>
              <w:spacing w:before="0" w:after="120" w:line="360" w:lineRule="auto"/>
              <w:rPr>
                <w:rFonts w:hint="eastAsia" w:ascii="宋体" w:hAnsi="宋体" w:eastAsia="宋体" w:cs="宋体"/>
                <w:sz w:val="18"/>
                <w:szCs w:val="18"/>
              </w:rPr>
            </w:pPr>
            <w:r>
              <w:rPr>
                <w:rFonts w:hint="eastAsia" w:ascii="宋体" w:hAnsi="宋体" w:eastAsia="宋体" w:cs="宋体"/>
                <w:sz w:val="18"/>
                <w:szCs w:val="18"/>
              </w:rPr>
              <w:t>ETC交易，余额字段为空</w:t>
            </w:r>
          </w:p>
        </w:tc>
      </w:tr>
    </w:tbl>
    <w:p>
      <w:pPr>
        <w:numPr>
          <w:ilvl w:val="0"/>
          <w:numId w:val="0"/>
        </w:numPr>
        <w:spacing w:line="360" w:lineRule="auto"/>
        <w:ind w:left="840" w:firstLine="0"/>
        <w:jc w:val="center"/>
        <w:rPr>
          <w:rFonts w:hint="eastAsia"/>
          <w:szCs w:val="24"/>
        </w:rPr>
      </w:pPr>
    </w:p>
    <w:p>
      <w:pPr>
        <w:pStyle w:val="32"/>
        <w:spacing w:before="312" w:after="312" w:line="360" w:lineRule="auto"/>
        <w:rPr>
          <w:rFonts w:hint="eastAsia"/>
          <w:szCs w:val="22"/>
          <w:lang w:val="en-US" w:eastAsia="zh-CN"/>
        </w:rPr>
      </w:pPr>
      <w:bookmarkStart w:id="109" w:name="_Toc22182"/>
      <w:r>
        <w:rPr>
          <w:rFonts w:hint="eastAsia"/>
          <w:szCs w:val="22"/>
          <w:lang w:val="en-US" w:eastAsia="zh-CN"/>
        </w:rPr>
        <w:t>应用平台关键功能参考</w:t>
      </w:r>
      <w:bookmarkEnd w:id="109"/>
    </w:p>
    <w:p>
      <w:pPr>
        <w:pStyle w:val="33"/>
        <w:spacing w:before="156" w:after="156" w:line="360" w:lineRule="auto"/>
        <w:rPr>
          <w:rFonts w:hint="eastAsia"/>
          <w:szCs w:val="24"/>
        </w:rPr>
      </w:pPr>
      <w:bookmarkStart w:id="110" w:name="_Toc18720"/>
      <w:r>
        <w:rPr>
          <w:rFonts w:hint="eastAsia"/>
          <w:szCs w:val="24"/>
        </w:rPr>
        <w:t>准入停车场（库）服务商登记管理</w:t>
      </w:r>
      <w:bookmarkEnd w:id="110"/>
    </w:p>
    <w:p>
      <w:pPr>
        <w:pStyle w:val="30"/>
        <w:keepNext w:val="0"/>
        <w:keepLines w:val="0"/>
        <w:pageBreakBefore w:val="0"/>
        <w:widowControl/>
        <w:numPr>
          <w:ilvl w:val="0"/>
          <w:numId w:val="10"/>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服务商接入申请登记</w:t>
      </w:r>
      <w:r>
        <w:rPr>
          <w:rFonts w:hint="eastAsia"/>
          <w:szCs w:val="24"/>
          <w:lang w:eastAsia="zh-CN"/>
        </w:rPr>
        <w:t>：</w:t>
      </w:r>
      <w:r>
        <w:rPr>
          <w:rFonts w:hint="eastAsia"/>
          <w:szCs w:val="24"/>
        </w:rPr>
        <w:t>提供面向停车场（库）业主或集成商，申请接入辽宁</w:t>
      </w:r>
      <w:r>
        <w:rPr>
          <w:rFonts w:hint="eastAsia" w:ascii="宋体" w:hAnsi="宋体" w:cs="宋体"/>
          <w:szCs w:val="24"/>
          <w:lang w:eastAsia="zh-CN"/>
        </w:rPr>
        <w:t>高速ETC智慧停车场</w:t>
      </w:r>
      <w:r>
        <w:rPr>
          <w:rFonts w:hint="eastAsia"/>
          <w:szCs w:val="24"/>
        </w:rPr>
        <w:t>在线服务，申请登记内容包括但不限于如下内容：</w:t>
      </w:r>
    </w:p>
    <w:p>
      <w:pPr>
        <w:numPr>
          <w:ilvl w:val="0"/>
          <w:numId w:val="11"/>
        </w:numPr>
        <w:spacing w:line="360" w:lineRule="auto"/>
        <w:ind w:left="630" w:leftChars="0" w:firstLineChars="0"/>
        <w:rPr>
          <w:rFonts w:hint="eastAsia"/>
          <w:szCs w:val="24"/>
        </w:rPr>
      </w:pPr>
      <w:r>
        <w:rPr>
          <w:rFonts w:hint="eastAsia"/>
          <w:szCs w:val="24"/>
        </w:rPr>
        <w:t>停车场（库）管理方基本信息</w:t>
      </w:r>
      <w:r>
        <w:rPr>
          <w:rFonts w:hint="eastAsia"/>
          <w:szCs w:val="24"/>
          <w:lang w:val="en-US" w:eastAsia="zh-CN"/>
        </w:rPr>
        <w:t>如表2所示。</w:t>
      </w:r>
    </w:p>
    <w:p>
      <w:pPr>
        <w:numPr>
          <w:ilvl w:val="0"/>
          <w:numId w:val="0"/>
        </w:numPr>
        <w:spacing w:line="360" w:lineRule="auto"/>
        <w:ind w:left="840" w:firstLine="0"/>
        <w:jc w:val="center"/>
        <w:rPr>
          <w:rFonts w:hint="eastAsia" w:ascii="黑体" w:hAnsi="黑体" w:eastAsia="黑体" w:cs="黑体"/>
          <w:szCs w:val="24"/>
        </w:rPr>
      </w:pPr>
      <w:r>
        <w:rPr>
          <w:rFonts w:hint="eastAsia" w:ascii="黑体" w:hAnsi="黑体" w:eastAsia="黑体" w:cs="黑体"/>
          <w:szCs w:val="24"/>
        </w:rPr>
        <w:t>表2</w:t>
      </w:r>
      <w:r>
        <w:rPr>
          <w:rFonts w:hint="eastAsia" w:ascii="黑体" w:hAnsi="黑体" w:eastAsia="黑体" w:cs="黑体"/>
          <w:szCs w:val="24"/>
          <w:lang w:eastAsia="zh-CN"/>
        </w:rPr>
        <w:t>　</w:t>
      </w:r>
      <w:r>
        <w:rPr>
          <w:rFonts w:hint="eastAsia" w:ascii="黑体" w:hAnsi="黑体" w:eastAsia="黑体" w:cs="黑体"/>
          <w:szCs w:val="24"/>
        </w:rPr>
        <w:t>停车场（库）管理方基本信息</w:t>
      </w:r>
    </w:p>
    <w:tbl>
      <w:tblPr>
        <w:tblStyle w:val="9"/>
        <w:tblW w:w="755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73"/>
        <w:gridCol w:w="2126"/>
        <w:gridCol w:w="42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jc w:val="center"/>
              <w:rPr>
                <w:rStyle w:val="12"/>
                <w:rFonts w:hint="eastAsia" w:ascii="宋体" w:hAnsi="宋体" w:eastAsia="宋体" w:cs="宋体"/>
                <w:sz w:val="18"/>
                <w:szCs w:val="18"/>
              </w:rPr>
            </w:pPr>
            <w:r>
              <w:rPr>
                <w:rStyle w:val="12"/>
                <w:rFonts w:hint="eastAsia" w:ascii="宋体" w:hAnsi="宋体" w:eastAsia="宋体" w:cs="宋体"/>
                <w:sz w:val="18"/>
                <w:szCs w:val="18"/>
              </w:rPr>
              <w:t>序号</w:t>
            </w:r>
          </w:p>
        </w:tc>
        <w:tc>
          <w:tcPr>
            <w:tcW w:w="2126" w:type="dxa"/>
            <w:noWrap w:val="0"/>
            <w:vAlign w:val="center"/>
          </w:tcPr>
          <w:p>
            <w:pPr>
              <w:pStyle w:val="8"/>
              <w:spacing w:before="0" w:after="120" w:line="360" w:lineRule="auto"/>
              <w:jc w:val="center"/>
              <w:rPr>
                <w:rStyle w:val="12"/>
                <w:rFonts w:hint="eastAsia" w:ascii="宋体" w:hAnsi="宋体" w:eastAsia="宋体" w:cs="宋体"/>
                <w:sz w:val="18"/>
                <w:szCs w:val="18"/>
              </w:rPr>
            </w:pPr>
            <w:r>
              <w:rPr>
                <w:rStyle w:val="12"/>
                <w:rFonts w:hint="eastAsia" w:ascii="宋体" w:hAnsi="宋体" w:eastAsia="宋体" w:cs="宋体"/>
                <w:sz w:val="18"/>
                <w:szCs w:val="18"/>
              </w:rPr>
              <w:t>信息项</w:t>
            </w:r>
          </w:p>
        </w:tc>
        <w:tc>
          <w:tcPr>
            <w:tcW w:w="4252" w:type="dxa"/>
            <w:noWrap w:val="0"/>
            <w:vAlign w:val="center"/>
          </w:tcPr>
          <w:p>
            <w:pPr>
              <w:pStyle w:val="8"/>
              <w:spacing w:before="0" w:after="120" w:line="360" w:lineRule="auto"/>
              <w:jc w:val="center"/>
              <w:rPr>
                <w:rStyle w:val="12"/>
                <w:rFonts w:hint="eastAsia" w:ascii="宋体" w:hAnsi="宋体" w:eastAsia="宋体" w:cs="宋体"/>
                <w:sz w:val="18"/>
                <w:szCs w:val="18"/>
              </w:rPr>
            </w:pPr>
            <w:r>
              <w:rPr>
                <w:rStyle w:val="12"/>
                <w:rFonts w:hint="eastAsia" w:ascii="宋体" w:hAnsi="宋体" w:eastAsia="宋体" w:cs="宋体"/>
                <w:sz w:val="18"/>
                <w:szCs w:val="18"/>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1</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管理方全称</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停车场（库）管理方名称全名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2</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管理方简称</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停车场（库）管理方名称缩写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3</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单位名称</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停车场（库）企业名称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4</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税号</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停车场（库）企业税号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5</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单位注册地址</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停车场（库）企业注册地址全称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6</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单位电话号码</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停车场（库）企业联系电话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7</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开户银行名称</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停车场（库）企业开户</w:t>
            </w:r>
            <w:r>
              <w:rPr>
                <w:rStyle w:val="12"/>
                <w:rFonts w:hint="eastAsia" w:ascii="宋体" w:hAnsi="宋体" w:cs="宋体"/>
                <w:sz w:val="18"/>
                <w:szCs w:val="18"/>
                <w:lang w:val="en-US" w:eastAsia="zh-CN"/>
              </w:rPr>
              <w:t>银行</w:t>
            </w:r>
            <w:r>
              <w:rPr>
                <w:rStyle w:val="12"/>
                <w:rFonts w:hint="eastAsia" w:ascii="宋体" w:hAnsi="宋体" w:eastAsia="宋体" w:cs="宋体"/>
                <w:sz w:val="18"/>
                <w:szCs w:val="18"/>
              </w:rPr>
              <w:t>全称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8</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银行账号</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停车场（库）企业开户</w:t>
            </w:r>
            <w:r>
              <w:rPr>
                <w:rStyle w:val="12"/>
                <w:rFonts w:hint="eastAsia" w:ascii="宋体" w:hAnsi="宋体" w:cs="宋体"/>
                <w:sz w:val="18"/>
                <w:szCs w:val="18"/>
                <w:lang w:val="en-US" w:eastAsia="zh-CN"/>
              </w:rPr>
              <w:t>银行</w:t>
            </w:r>
            <w:r>
              <w:rPr>
                <w:rStyle w:val="12"/>
                <w:rFonts w:hint="eastAsia" w:ascii="宋体" w:hAnsi="宋体" w:eastAsia="宋体" w:cs="宋体"/>
                <w:sz w:val="18"/>
                <w:szCs w:val="18"/>
              </w:rPr>
              <w:t>账号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9</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停车场地址</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停车场（库）场地所在地全称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10</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负责人</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停车场（库）企业负责人姓名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11</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负责人电话</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停车场（库）企业负责人联系电话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12</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负责人Email</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停车场（库）企业负责人Email</w:t>
            </w:r>
          </w:p>
        </w:tc>
      </w:tr>
    </w:tbl>
    <w:p>
      <w:pPr>
        <w:numPr>
          <w:ilvl w:val="0"/>
          <w:numId w:val="0"/>
        </w:numPr>
        <w:spacing w:line="360" w:lineRule="auto"/>
        <w:ind w:left="840" w:firstLine="0"/>
        <w:rPr>
          <w:rFonts w:hint="eastAsia"/>
          <w:szCs w:val="24"/>
        </w:rPr>
      </w:pPr>
    </w:p>
    <w:p>
      <w:pPr>
        <w:numPr>
          <w:ilvl w:val="0"/>
          <w:numId w:val="11"/>
        </w:numPr>
        <w:spacing w:line="360" w:lineRule="auto"/>
        <w:ind w:left="630" w:leftChars="0" w:firstLineChars="0"/>
        <w:rPr>
          <w:rFonts w:hint="eastAsia"/>
          <w:szCs w:val="24"/>
        </w:rPr>
      </w:pPr>
      <w:r>
        <w:rPr>
          <w:rFonts w:hint="eastAsia"/>
          <w:szCs w:val="24"/>
        </w:rPr>
        <w:t>停车场（库）产权方基本信息</w:t>
      </w:r>
      <w:r>
        <w:rPr>
          <w:rFonts w:hint="eastAsia"/>
          <w:szCs w:val="24"/>
          <w:lang w:val="en-US" w:eastAsia="zh-CN"/>
        </w:rPr>
        <w:t>如表3所示。</w:t>
      </w:r>
    </w:p>
    <w:p>
      <w:pPr>
        <w:numPr>
          <w:ilvl w:val="0"/>
          <w:numId w:val="0"/>
        </w:numPr>
        <w:spacing w:line="360" w:lineRule="auto"/>
        <w:ind w:left="840" w:firstLine="0"/>
        <w:jc w:val="center"/>
        <w:rPr>
          <w:rFonts w:hint="eastAsia" w:ascii="黑体" w:hAnsi="黑体" w:eastAsia="黑体" w:cs="黑体"/>
          <w:szCs w:val="24"/>
        </w:rPr>
      </w:pPr>
      <w:r>
        <w:rPr>
          <w:rFonts w:hint="eastAsia" w:ascii="黑体" w:hAnsi="黑体" w:eastAsia="黑体" w:cs="黑体"/>
          <w:szCs w:val="24"/>
        </w:rPr>
        <w:t>表3</w:t>
      </w:r>
      <w:r>
        <w:rPr>
          <w:rFonts w:hint="eastAsia" w:ascii="黑体" w:hAnsi="黑体" w:eastAsia="黑体" w:cs="黑体"/>
          <w:szCs w:val="24"/>
          <w:lang w:val="en-US" w:eastAsia="zh-CN"/>
        </w:rPr>
        <w:t>　</w:t>
      </w:r>
      <w:r>
        <w:rPr>
          <w:rFonts w:hint="eastAsia" w:ascii="黑体" w:hAnsi="黑体" w:eastAsia="黑体" w:cs="黑体"/>
          <w:szCs w:val="24"/>
        </w:rPr>
        <w:t>停车场（库）产权方基本信息</w:t>
      </w:r>
    </w:p>
    <w:tbl>
      <w:tblPr>
        <w:tblStyle w:val="9"/>
        <w:tblW w:w="755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73"/>
        <w:gridCol w:w="2126"/>
        <w:gridCol w:w="42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jc w:val="center"/>
              <w:rPr>
                <w:rStyle w:val="12"/>
                <w:rFonts w:hint="eastAsia" w:ascii="宋体" w:hAnsi="宋体" w:eastAsia="宋体" w:cs="宋体"/>
                <w:sz w:val="18"/>
                <w:szCs w:val="18"/>
              </w:rPr>
            </w:pPr>
            <w:r>
              <w:rPr>
                <w:rStyle w:val="12"/>
                <w:rFonts w:hint="eastAsia" w:ascii="宋体" w:hAnsi="宋体" w:eastAsia="宋体" w:cs="宋体"/>
                <w:sz w:val="18"/>
                <w:szCs w:val="18"/>
              </w:rPr>
              <w:t>序号</w:t>
            </w:r>
          </w:p>
        </w:tc>
        <w:tc>
          <w:tcPr>
            <w:tcW w:w="2126" w:type="dxa"/>
            <w:noWrap w:val="0"/>
            <w:vAlign w:val="center"/>
          </w:tcPr>
          <w:p>
            <w:pPr>
              <w:pStyle w:val="8"/>
              <w:spacing w:before="0" w:after="120" w:line="360" w:lineRule="auto"/>
              <w:jc w:val="center"/>
              <w:rPr>
                <w:rStyle w:val="12"/>
                <w:rFonts w:hint="eastAsia" w:ascii="宋体" w:hAnsi="宋体" w:eastAsia="宋体" w:cs="宋体"/>
                <w:sz w:val="18"/>
                <w:szCs w:val="18"/>
              </w:rPr>
            </w:pPr>
            <w:r>
              <w:rPr>
                <w:rStyle w:val="12"/>
                <w:rFonts w:hint="eastAsia" w:ascii="宋体" w:hAnsi="宋体" w:eastAsia="宋体" w:cs="宋体"/>
                <w:sz w:val="18"/>
                <w:szCs w:val="18"/>
              </w:rPr>
              <w:t>信息项</w:t>
            </w:r>
          </w:p>
        </w:tc>
        <w:tc>
          <w:tcPr>
            <w:tcW w:w="4252" w:type="dxa"/>
            <w:noWrap w:val="0"/>
            <w:vAlign w:val="center"/>
          </w:tcPr>
          <w:p>
            <w:pPr>
              <w:pStyle w:val="8"/>
              <w:spacing w:before="0" w:after="120" w:line="360" w:lineRule="auto"/>
              <w:jc w:val="center"/>
              <w:rPr>
                <w:rStyle w:val="12"/>
                <w:rFonts w:hint="eastAsia" w:ascii="宋体" w:hAnsi="宋体" w:eastAsia="宋体" w:cs="宋体"/>
                <w:sz w:val="18"/>
                <w:szCs w:val="18"/>
              </w:rPr>
            </w:pPr>
            <w:r>
              <w:rPr>
                <w:rStyle w:val="12"/>
                <w:rFonts w:hint="eastAsia" w:ascii="宋体" w:hAnsi="宋体" w:eastAsia="宋体" w:cs="宋体"/>
                <w:sz w:val="18"/>
                <w:szCs w:val="18"/>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1</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产权方全称</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停车场（库）产权方名称全名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2</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产权方简称</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停车场（库）产权方名称缩写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3</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单位名称</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停车场（库）产权方名称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4</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税号</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停车场（库）产权方税号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5</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单位注册地址</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停车场（库）产权方注册地址全称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6</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单位电话号码</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停车场（库）产权方联系电话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7</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开户银行名称</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停车场（库）产权方开户行全称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8</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银行账号</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停车场（库）产权方开户行账号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9</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停车场地址</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停车场（库）产权方所在地全称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10</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负责人</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停车场（库）产权方负责人姓名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11</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负责人电话</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停车场（库）产权方负责人联系电话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12</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负责人Email</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停车场（库）产权方负责人Email</w:t>
            </w:r>
          </w:p>
        </w:tc>
      </w:tr>
    </w:tbl>
    <w:p>
      <w:pPr>
        <w:numPr>
          <w:ilvl w:val="0"/>
          <w:numId w:val="0"/>
        </w:numPr>
        <w:spacing w:line="360" w:lineRule="auto"/>
        <w:ind w:left="840" w:firstLine="0"/>
        <w:rPr>
          <w:rFonts w:hint="eastAsia"/>
          <w:szCs w:val="24"/>
        </w:rPr>
      </w:pPr>
    </w:p>
    <w:p>
      <w:pPr>
        <w:numPr>
          <w:ilvl w:val="0"/>
          <w:numId w:val="11"/>
        </w:numPr>
        <w:spacing w:line="360" w:lineRule="auto"/>
        <w:ind w:left="630" w:leftChars="0" w:firstLineChars="0"/>
        <w:rPr>
          <w:rFonts w:hint="eastAsia"/>
          <w:szCs w:val="24"/>
        </w:rPr>
      </w:pPr>
      <w:r>
        <w:rPr>
          <w:rFonts w:hint="eastAsia"/>
          <w:szCs w:val="24"/>
        </w:rPr>
        <w:t>停车场（库）集成商基本信息</w:t>
      </w:r>
      <w:r>
        <w:rPr>
          <w:rFonts w:hint="eastAsia"/>
          <w:szCs w:val="24"/>
          <w:lang w:val="en-US" w:eastAsia="zh-CN"/>
        </w:rPr>
        <w:t>如表4所示。</w:t>
      </w:r>
    </w:p>
    <w:p>
      <w:pPr>
        <w:numPr>
          <w:ilvl w:val="0"/>
          <w:numId w:val="0"/>
        </w:numPr>
        <w:spacing w:line="360" w:lineRule="auto"/>
        <w:ind w:left="840" w:firstLine="0"/>
        <w:jc w:val="center"/>
        <w:rPr>
          <w:rFonts w:hint="eastAsia" w:ascii="黑体" w:hAnsi="黑体" w:eastAsia="黑体" w:cs="黑体"/>
          <w:szCs w:val="24"/>
        </w:rPr>
      </w:pPr>
      <w:r>
        <w:rPr>
          <w:rFonts w:hint="eastAsia" w:ascii="黑体" w:hAnsi="黑体" w:eastAsia="黑体" w:cs="黑体"/>
          <w:szCs w:val="24"/>
        </w:rPr>
        <w:t>表4</w:t>
      </w:r>
      <w:r>
        <w:rPr>
          <w:rFonts w:hint="eastAsia" w:ascii="黑体" w:hAnsi="黑体" w:eastAsia="黑体" w:cs="黑体"/>
          <w:szCs w:val="24"/>
          <w:lang w:eastAsia="zh-CN"/>
        </w:rPr>
        <w:t>　</w:t>
      </w:r>
      <w:r>
        <w:rPr>
          <w:rFonts w:hint="eastAsia" w:ascii="黑体" w:hAnsi="黑体" w:eastAsia="黑体" w:cs="黑体"/>
          <w:szCs w:val="24"/>
        </w:rPr>
        <w:t>停车场（库）集成商基本信息</w:t>
      </w:r>
    </w:p>
    <w:tbl>
      <w:tblPr>
        <w:tblStyle w:val="9"/>
        <w:tblW w:w="755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73"/>
        <w:gridCol w:w="2126"/>
        <w:gridCol w:w="42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jc w:val="center"/>
              <w:rPr>
                <w:rStyle w:val="12"/>
                <w:rFonts w:hint="eastAsia" w:ascii="宋体" w:hAnsi="宋体" w:eastAsia="宋体" w:cs="宋体"/>
                <w:sz w:val="18"/>
                <w:szCs w:val="18"/>
              </w:rPr>
            </w:pPr>
            <w:r>
              <w:rPr>
                <w:rStyle w:val="12"/>
                <w:rFonts w:hint="eastAsia" w:ascii="宋体" w:hAnsi="宋体" w:eastAsia="宋体" w:cs="宋体"/>
                <w:sz w:val="18"/>
                <w:szCs w:val="18"/>
              </w:rPr>
              <w:t>序号</w:t>
            </w:r>
          </w:p>
        </w:tc>
        <w:tc>
          <w:tcPr>
            <w:tcW w:w="2126" w:type="dxa"/>
            <w:noWrap w:val="0"/>
            <w:vAlign w:val="center"/>
          </w:tcPr>
          <w:p>
            <w:pPr>
              <w:pStyle w:val="8"/>
              <w:spacing w:before="0" w:after="120" w:line="360" w:lineRule="auto"/>
              <w:jc w:val="center"/>
              <w:rPr>
                <w:rStyle w:val="12"/>
                <w:rFonts w:hint="eastAsia" w:ascii="宋体" w:hAnsi="宋体" w:eastAsia="宋体" w:cs="宋体"/>
                <w:sz w:val="18"/>
                <w:szCs w:val="18"/>
              </w:rPr>
            </w:pPr>
            <w:r>
              <w:rPr>
                <w:rStyle w:val="12"/>
                <w:rFonts w:hint="eastAsia" w:ascii="宋体" w:hAnsi="宋体" w:eastAsia="宋体" w:cs="宋体"/>
                <w:sz w:val="18"/>
                <w:szCs w:val="18"/>
              </w:rPr>
              <w:t>信息项</w:t>
            </w:r>
          </w:p>
        </w:tc>
        <w:tc>
          <w:tcPr>
            <w:tcW w:w="4252" w:type="dxa"/>
            <w:noWrap w:val="0"/>
            <w:vAlign w:val="center"/>
          </w:tcPr>
          <w:p>
            <w:pPr>
              <w:pStyle w:val="8"/>
              <w:spacing w:before="0" w:after="120" w:line="360" w:lineRule="auto"/>
              <w:jc w:val="center"/>
              <w:rPr>
                <w:rStyle w:val="12"/>
                <w:rFonts w:hint="eastAsia" w:ascii="宋体" w:hAnsi="宋体" w:eastAsia="宋体" w:cs="宋体"/>
                <w:sz w:val="18"/>
                <w:szCs w:val="18"/>
              </w:rPr>
            </w:pPr>
            <w:r>
              <w:rPr>
                <w:rStyle w:val="12"/>
                <w:rFonts w:hint="eastAsia" w:ascii="宋体" w:hAnsi="宋体" w:eastAsia="宋体" w:cs="宋体"/>
                <w:sz w:val="18"/>
                <w:szCs w:val="18"/>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1</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集成商全称</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停车场（库）集成商名称全名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2</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集成商简称</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停车场（库）集成商名称缩写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3</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单位名称</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停车场（库）集成商名称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4</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税号</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停车场（库）集成商税号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5</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单位注册地址</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停车场（库）集成商注册地址全称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6</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单位电话号码</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停车场（库）集成商联系电话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7</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开户银行名称</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停车场（库）集成商开户行全称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8</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银行账号</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停车场（库）集成商开户行账号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9</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停车场地址</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停车场（库）集成商所在地全称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10</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负责人</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停车场（库）集成商负责人姓名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11</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负责人电话</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停车场（库）集成商负责人联系电话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12</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负责人Email</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停车场（库）集成商负责人Email</w:t>
            </w:r>
          </w:p>
        </w:tc>
      </w:tr>
    </w:tbl>
    <w:p>
      <w:pPr>
        <w:numPr>
          <w:ilvl w:val="0"/>
          <w:numId w:val="0"/>
        </w:numPr>
        <w:spacing w:line="360" w:lineRule="auto"/>
        <w:ind w:left="840" w:firstLine="0"/>
        <w:rPr>
          <w:rFonts w:hint="eastAsia"/>
          <w:szCs w:val="24"/>
        </w:rPr>
      </w:pPr>
    </w:p>
    <w:p>
      <w:pPr>
        <w:numPr>
          <w:ilvl w:val="0"/>
          <w:numId w:val="11"/>
        </w:numPr>
        <w:spacing w:line="360" w:lineRule="auto"/>
        <w:ind w:left="630" w:leftChars="0" w:firstLineChars="0"/>
        <w:rPr>
          <w:rFonts w:hint="eastAsia"/>
          <w:szCs w:val="24"/>
        </w:rPr>
      </w:pPr>
      <w:r>
        <w:rPr>
          <w:rFonts w:hint="eastAsia"/>
          <w:szCs w:val="24"/>
        </w:rPr>
        <w:t>停车场（库）基本信息</w:t>
      </w:r>
      <w:r>
        <w:rPr>
          <w:rFonts w:hint="eastAsia"/>
          <w:szCs w:val="24"/>
          <w:lang w:val="en-US" w:eastAsia="zh-CN"/>
        </w:rPr>
        <w:t>如表5所示。</w:t>
      </w:r>
    </w:p>
    <w:p>
      <w:pPr>
        <w:numPr>
          <w:ilvl w:val="0"/>
          <w:numId w:val="0"/>
        </w:numPr>
        <w:spacing w:line="360" w:lineRule="auto"/>
        <w:ind w:left="840" w:firstLine="0"/>
        <w:jc w:val="center"/>
        <w:rPr>
          <w:rFonts w:hint="eastAsia" w:ascii="黑体" w:hAnsi="黑体" w:eastAsia="黑体" w:cs="黑体"/>
          <w:szCs w:val="24"/>
        </w:rPr>
      </w:pPr>
      <w:r>
        <w:rPr>
          <w:rFonts w:hint="eastAsia" w:ascii="黑体" w:hAnsi="黑体" w:eastAsia="黑体" w:cs="黑体"/>
          <w:szCs w:val="24"/>
        </w:rPr>
        <w:t>表5</w:t>
      </w:r>
      <w:r>
        <w:rPr>
          <w:rFonts w:hint="eastAsia" w:ascii="黑体" w:hAnsi="黑体" w:eastAsia="黑体" w:cs="黑体"/>
          <w:szCs w:val="24"/>
          <w:lang w:val="en-US" w:eastAsia="zh-CN"/>
        </w:rPr>
        <w:t>　</w:t>
      </w:r>
      <w:r>
        <w:rPr>
          <w:rFonts w:hint="eastAsia" w:ascii="黑体" w:hAnsi="黑体" w:eastAsia="黑体" w:cs="黑体"/>
          <w:szCs w:val="24"/>
        </w:rPr>
        <w:t>停车场（库）基本信息</w:t>
      </w:r>
    </w:p>
    <w:tbl>
      <w:tblPr>
        <w:tblStyle w:val="9"/>
        <w:tblW w:w="755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73"/>
        <w:gridCol w:w="2126"/>
        <w:gridCol w:w="42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jc w:val="center"/>
              <w:rPr>
                <w:rStyle w:val="12"/>
                <w:rFonts w:hint="eastAsia" w:ascii="宋体" w:hAnsi="宋体" w:eastAsia="宋体" w:cs="宋体"/>
                <w:sz w:val="18"/>
                <w:szCs w:val="18"/>
              </w:rPr>
            </w:pPr>
            <w:r>
              <w:rPr>
                <w:rStyle w:val="12"/>
                <w:rFonts w:hint="eastAsia" w:ascii="宋体" w:hAnsi="宋体" w:eastAsia="宋体" w:cs="宋体"/>
                <w:sz w:val="18"/>
                <w:szCs w:val="18"/>
              </w:rPr>
              <w:t>序号</w:t>
            </w:r>
          </w:p>
        </w:tc>
        <w:tc>
          <w:tcPr>
            <w:tcW w:w="2126" w:type="dxa"/>
            <w:noWrap w:val="0"/>
            <w:vAlign w:val="center"/>
          </w:tcPr>
          <w:p>
            <w:pPr>
              <w:pStyle w:val="8"/>
              <w:spacing w:before="0" w:after="120" w:line="360" w:lineRule="auto"/>
              <w:jc w:val="center"/>
              <w:rPr>
                <w:rStyle w:val="12"/>
                <w:rFonts w:hint="eastAsia" w:ascii="宋体" w:hAnsi="宋体" w:eastAsia="宋体" w:cs="宋体"/>
                <w:sz w:val="18"/>
                <w:szCs w:val="18"/>
              </w:rPr>
            </w:pPr>
            <w:r>
              <w:rPr>
                <w:rStyle w:val="12"/>
                <w:rFonts w:hint="eastAsia" w:ascii="宋体" w:hAnsi="宋体" w:eastAsia="宋体" w:cs="宋体"/>
                <w:sz w:val="18"/>
                <w:szCs w:val="18"/>
              </w:rPr>
              <w:t>信息项</w:t>
            </w:r>
          </w:p>
        </w:tc>
        <w:tc>
          <w:tcPr>
            <w:tcW w:w="4252" w:type="dxa"/>
            <w:noWrap w:val="0"/>
            <w:vAlign w:val="center"/>
          </w:tcPr>
          <w:p>
            <w:pPr>
              <w:pStyle w:val="8"/>
              <w:spacing w:before="0" w:after="120" w:line="360" w:lineRule="auto"/>
              <w:jc w:val="center"/>
              <w:rPr>
                <w:rStyle w:val="12"/>
                <w:rFonts w:hint="eastAsia" w:ascii="宋体" w:hAnsi="宋体" w:eastAsia="宋体" w:cs="宋体"/>
                <w:sz w:val="18"/>
                <w:szCs w:val="18"/>
              </w:rPr>
            </w:pPr>
            <w:r>
              <w:rPr>
                <w:rStyle w:val="12"/>
                <w:rFonts w:hint="eastAsia" w:ascii="宋体" w:hAnsi="宋体" w:eastAsia="宋体" w:cs="宋体"/>
                <w:sz w:val="18"/>
                <w:szCs w:val="18"/>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1</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停车场（库）全称</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停车场（库）名称全名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2</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停车场（库）简称</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停车场（库）名称缩写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3</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停车场（库）类型</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停车场（库）类型，如旅游业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4</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停车场（库）类别</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停车场（库）类别，如开放式、封闭式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5</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收款方</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收款方名称，如管理方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6</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结算周期</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结算周期单位，如日结算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7</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起始结算日</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结算起始日期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8</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停车场负责人</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停车场（库）负责人姓名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9</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车位总数</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停车场（库）有效车位总数量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10</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经营时间</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停车场（库）经营时段，如24小时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11</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收</w:t>
            </w:r>
            <w:r>
              <w:rPr>
                <w:rStyle w:val="12"/>
                <w:rFonts w:hint="eastAsia" w:ascii="宋体" w:hAnsi="宋体" w:cs="宋体"/>
                <w:sz w:val="18"/>
                <w:szCs w:val="18"/>
                <w:lang w:val="en-US" w:eastAsia="zh-CN"/>
              </w:rPr>
              <w:t>费</w:t>
            </w:r>
            <w:r>
              <w:rPr>
                <w:rStyle w:val="12"/>
                <w:rFonts w:hint="eastAsia" w:ascii="宋体" w:hAnsi="宋体" w:eastAsia="宋体" w:cs="宋体"/>
                <w:sz w:val="18"/>
                <w:szCs w:val="18"/>
              </w:rPr>
              <w:t>标准</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停车场（库）收费标准明细，如小车20元/次、中巴30元/次、大客40元/次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12</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支付方式</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停车场（库）停车费支付方式，如线上支付/现金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13</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黑白名单推送地址</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停车场（库）车辆黑白名单推送地址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14</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停车场地址</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停车场（库）场地所在位置全称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15</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清分推送标识</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清分推送类别，如实时推送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16</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消息推送方式</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消息推送类别，如http推送</w:t>
            </w:r>
          </w:p>
        </w:tc>
      </w:tr>
    </w:tbl>
    <w:p>
      <w:pPr>
        <w:pStyle w:val="30"/>
        <w:keepNext w:val="0"/>
        <w:keepLines w:val="0"/>
        <w:pageBreakBefore w:val="0"/>
        <w:widowControl/>
        <w:numPr>
          <w:ilvl w:val="0"/>
          <w:numId w:val="0"/>
        </w:numPr>
        <w:kinsoku/>
        <w:wordWrap/>
        <w:overflowPunct/>
        <w:topLinePunct w:val="0"/>
        <w:autoSpaceDE w:val="0"/>
        <w:autoSpaceDN w:val="0"/>
        <w:bidi w:val="0"/>
        <w:adjustRightInd/>
        <w:snapToGrid/>
        <w:spacing w:line="360" w:lineRule="auto"/>
        <w:textAlignment w:val="auto"/>
        <w:rPr>
          <w:rFonts w:hint="eastAsia"/>
          <w:szCs w:val="24"/>
        </w:rPr>
      </w:pPr>
    </w:p>
    <w:p>
      <w:pPr>
        <w:pStyle w:val="30"/>
        <w:keepNext w:val="0"/>
        <w:keepLines w:val="0"/>
        <w:pageBreakBefore w:val="0"/>
        <w:widowControl/>
        <w:numPr>
          <w:ilvl w:val="0"/>
          <w:numId w:val="10"/>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服务商接入申请审批</w:t>
      </w:r>
      <w:r>
        <w:rPr>
          <w:rFonts w:hint="eastAsia"/>
          <w:szCs w:val="24"/>
          <w:lang w:eastAsia="zh-CN"/>
        </w:rPr>
        <w:t>：</w:t>
      </w:r>
      <w:r>
        <w:rPr>
          <w:rFonts w:hint="eastAsia"/>
          <w:szCs w:val="24"/>
        </w:rPr>
        <w:t>提供面向辽宁</w:t>
      </w:r>
      <w:r>
        <w:rPr>
          <w:rFonts w:hint="eastAsia"/>
          <w:szCs w:val="24"/>
          <w:lang w:eastAsia="zh-CN"/>
        </w:rPr>
        <w:t>高速ETC智慧停车场</w:t>
      </w:r>
      <w:r>
        <w:rPr>
          <w:rFonts w:hint="eastAsia"/>
          <w:szCs w:val="24"/>
        </w:rPr>
        <w:t>业务管理人员，对停车场（库）注册申请信息的审批管理服务。基于服务商接入申请注册信息，根据业务评价条例，支持分级审批操作，并留痕每级节点审批信息与最终结果，提供对审批中状态的实时查询，与审批结束信息历史查询功能。审批内容：服务商接入申请注册信息。审批方式：支持多级在线自定义审批流程</w:t>
      </w:r>
      <w:r>
        <w:rPr>
          <w:rFonts w:hint="eastAsia"/>
          <w:szCs w:val="24"/>
          <w:lang w:eastAsia="zh-CN"/>
        </w:rPr>
        <w:t>；</w:t>
      </w:r>
    </w:p>
    <w:p>
      <w:pPr>
        <w:pStyle w:val="30"/>
        <w:keepNext w:val="0"/>
        <w:keepLines w:val="0"/>
        <w:pageBreakBefore w:val="0"/>
        <w:widowControl/>
        <w:numPr>
          <w:ilvl w:val="0"/>
          <w:numId w:val="10"/>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服务商接入申请结果反馈服务</w:t>
      </w:r>
      <w:r>
        <w:rPr>
          <w:rFonts w:hint="eastAsia"/>
          <w:szCs w:val="24"/>
          <w:lang w:eastAsia="zh-CN"/>
        </w:rPr>
        <w:t>：</w:t>
      </w:r>
      <w:r>
        <w:rPr>
          <w:rFonts w:hint="eastAsia"/>
          <w:szCs w:val="24"/>
        </w:rPr>
        <w:t>提供对停车场（库）业主或集成商申请结果反馈服务。申请结果通过后，系统将基于服务商注册信息中的停车场名称对应的汉语拼音，按一定业务逻辑生成对应的系统账号与登录密码信息，并通过短信或电子邮件的形式，发送给停车场（库）业主。此后，业主可以通过该账户与密码登录系统，享有后续服务内容。申请结果未通过，系统将以短信或邮件的形式，发送给停车场（库）业主，告知审批结果与原因。</w:t>
      </w:r>
    </w:p>
    <w:p>
      <w:pPr>
        <w:pStyle w:val="33"/>
        <w:spacing w:before="156" w:after="156" w:line="360" w:lineRule="auto"/>
        <w:rPr>
          <w:rFonts w:hint="eastAsia"/>
          <w:szCs w:val="24"/>
        </w:rPr>
      </w:pPr>
      <w:bookmarkStart w:id="111" w:name="_Toc20634"/>
      <w:r>
        <w:rPr>
          <w:rFonts w:hint="eastAsia"/>
          <w:szCs w:val="24"/>
        </w:rPr>
        <w:t>准入停车场（库）信息系统接入管理</w:t>
      </w:r>
      <w:bookmarkEnd w:id="111"/>
    </w:p>
    <w:p>
      <w:pPr>
        <w:numPr>
          <w:ilvl w:val="0"/>
          <w:numId w:val="0"/>
        </w:numPr>
        <w:spacing w:line="360" w:lineRule="auto"/>
        <w:ind w:firstLine="420" w:firstLineChars="0"/>
        <w:rPr>
          <w:rFonts w:hint="eastAsia"/>
          <w:szCs w:val="24"/>
        </w:rPr>
      </w:pPr>
      <w:r>
        <w:rPr>
          <w:rFonts w:hint="eastAsia"/>
          <w:szCs w:val="24"/>
        </w:rPr>
        <w:t>停车场（库）业主或集成商在注册审批通过后，可使用账户登录该平台并获得如下关键服务内容：</w:t>
      </w:r>
    </w:p>
    <w:p>
      <w:pPr>
        <w:pStyle w:val="30"/>
        <w:keepNext w:val="0"/>
        <w:keepLines w:val="0"/>
        <w:pageBreakBefore w:val="0"/>
        <w:widowControl/>
        <w:numPr>
          <w:ilvl w:val="0"/>
          <w:numId w:val="12"/>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开发者支持服务</w:t>
      </w:r>
      <w:r>
        <w:rPr>
          <w:rFonts w:hint="eastAsia"/>
          <w:szCs w:val="24"/>
          <w:lang w:eastAsia="zh-CN"/>
        </w:rPr>
        <w:t>：</w:t>
      </w:r>
      <w:r>
        <w:rPr>
          <w:rFonts w:hint="eastAsia"/>
          <w:szCs w:val="24"/>
        </w:rPr>
        <w:t>提供面向停车场（库）业主或集成商，将</w:t>
      </w:r>
      <w:r>
        <w:rPr>
          <w:rFonts w:hint="eastAsia"/>
          <w:szCs w:val="24"/>
          <w:lang w:eastAsia="zh-CN"/>
        </w:rPr>
        <w:t>停车场（库）信息管理系统</w:t>
      </w:r>
      <w:r>
        <w:rPr>
          <w:rFonts w:hint="eastAsia"/>
          <w:szCs w:val="24"/>
        </w:rPr>
        <w:t>接入该平台的在线开发文档服务，在线开发文档内容应涵盖数据对接开发概述、简介、接口概览、入门与具体接入说明教程</w:t>
      </w:r>
      <w:r>
        <w:rPr>
          <w:rFonts w:hint="eastAsia"/>
          <w:szCs w:val="24"/>
          <w:lang w:val="en-US" w:eastAsia="zh-CN"/>
        </w:rPr>
        <w:t>及</w:t>
      </w:r>
      <w:r>
        <w:rPr>
          <w:rFonts w:hint="eastAsia"/>
          <w:szCs w:val="24"/>
        </w:rPr>
        <w:t>完整的代码片段案例。提供平台对接开发Q&amp;A查询服务，包括在线对接技术问题留言问答，与历史问题应答结果查询</w:t>
      </w:r>
      <w:r>
        <w:rPr>
          <w:rFonts w:hint="eastAsia"/>
          <w:szCs w:val="24"/>
          <w:lang w:eastAsia="zh-CN"/>
        </w:rPr>
        <w:t>；</w:t>
      </w:r>
    </w:p>
    <w:p>
      <w:pPr>
        <w:pStyle w:val="30"/>
        <w:keepNext w:val="0"/>
        <w:keepLines w:val="0"/>
        <w:pageBreakBefore w:val="0"/>
        <w:widowControl/>
        <w:numPr>
          <w:ilvl w:val="0"/>
          <w:numId w:val="12"/>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模拟测试环境接入申请服务</w:t>
      </w:r>
      <w:r>
        <w:rPr>
          <w:rFonts w:hint="eastAsia"/>
          <w:szCs w:val="24"/>
          <w:lang w:eastAsia="zh-CN"/>
        </w:rPr>
        <w:t>：</w:t>
      </w:r>
      <w:r>
        <w:rPr>
          <w:rFonts w:hint="eastAsia"/>
          <w:szCs w:val="24"/>
        </w:rPr>
        <w:t>提供面向停车场（库）业主或集成商接入模拟测试环境的申请服务，用于联调预对接接口。申请方式应支持线上申请，使用账号登录</w:t>
      </w:r>
      <w:r>
        <w:rPr>
          <w:rFonts w:hint="eastAsia"/>
          <w:szCs w:val="24"/>
          <w:lang w:val="en-US" w:eastAsia="zh-CN"/>
        </w:rPr>
        <w:t>后申请</w:t>
      </w:r>
      <w:r>
        <w:rPr>
          <w:rFonts w:hint="eastAsia"/>
          <w:szCs w:val="24"/>
        </w:rPr>
        <w:t>，填写与提交</w:t>
      </w:r>
      <w:r>
        <w:rPr>
          <w:rFonts w:hint="eastAsia"/>
          <w:szCs w:val="24"/>
          <w:lang w:val="en-US" w:eastAsia="zh-CN"/>
        </w:rPr>
        <w:t>内容</w:t>
      </w:r>
      <w:r>
        <w:rPr>
          <w:rFonts w:hint="eastAsia"/>
          <w:szCs w:val="24"/>
        </w:rPr>
        <w:t>包括但不限于如</w:t>
      </w:r>
      <w:r>
        <w:rPr>
          <w:rFonts w:hint="eastAsia"/>
          <w:szCs w:val="24"/>
          <w:lang w:eastAsia="zh-CN"/>
        </w:rPr>
        <w:t>表</w:t>
      </w:r>
      <w:r>
        <w:rPr>
          <w:rFonts w:hint="eastAsia"/>
          <w:szCs w:val="24"/>
        </w:rPr>
        <w:t>6所示：</w:t>
      </w:r>
    </w:p>
    <w:p>
      <w:pPr>
        <w:numPr>
          <w:ilvl w:val="0"/>
          <w:numId w:val="0"/>
        </w:numPr>
        <w:spacing w:line="360" w:lineRule="auto"/>
        <w:ind w:left="840" w:firstLine="0"/>
        <w:jc w:val="center"/>
        <w:rPr>
          <w:rFonts w:hint="eastAsia" w:ascii="黑体" w:hAnsi="黑体" w:eastAsia="黑体" w:cs="黑体"/>
          <w:szCs w:val="24"/>
        </w:rPr>
      </w:pPr>
      <w:r>
        <w:rPr>
          <w:rFonts w:hint="eastAsia" w:ascii="黑体" w:hAnsi="黑体" w:eastAsia="黑体" w:cs="黑体"/>
          <w:szCs w:val="24"/>
        </w:rPr>
        <w:t>表6</w:t>
      </w:r>
      <w:r>
        <w:rPr>
          <w:rFonts w:hint="eastAsia" w:ascii="黑体" w:hAnsi="黑体" w:eastAsia="黑体" w:cs="黑体"/>
          <w:szCs w:val="24"/>
          <w:lang w:eastAsia="zh-CN"/>
        </w:rPr>
        <w:t>　</w:t>
      </w:r>
      <w:r>
        <w:rPr>
          <w:rFonts w:hint="eastAsia" w:ascii="黑体" w:hAnsi="黑体" w:eastAsia="黑体" w:cs="黑体"/>
          <w:szCs w:val="24"/>
        </w:rPr>
        <w:t>模拟测试环境接入申请信息项</w:t>
      </w:r>
    </w:p>
    <w:tbl>
      <w:tblPr>
        <w:tblStyle w:val="9"/>
        <w:tblW w:w="755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73"/>
        <w:gridCol w:w="2126"/>
        <w:gridCol w:w="42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jc w:val="center"/>
              <w:rPr>
                <w:rStyle w:val="12"/>
                <w:rFonts w:hint="eastAsia" w:ascii="宋体" w:hAnsi="宋体" w:eastAsia="宋体" w:cs="宋体"/>
                <w:sz w:val="18"/>
                <w:szCs w:val="18"/>
              </w:rPr>
            </w:pPr>
            <w:r>
              <w:rPr>
                <w:rStyle w:val="12"/>
                <w:rFonts w:hint="eastAsia" w:ascii="宋体" w:hAnsi="宋体" w:eastAsia="宋体" w:cs="宋体"/>
                <w:sz w:val="18"/>
                <w:szCs w:val="18"/>
              </w:rPr>
              <w:t>序号</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信息项</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1</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对接接口内容</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勾选预对接平台接口项目，支持多选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9"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2</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测试时间范围</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对接测试起始与结束时间选择，用于平台技术支持安排相关资源与之配合</w:t>
            </w:r>
          </w:p>
        </w:tc>
      </w:tr>
    </w:tbl>
    <w:p>
      <w:pPr>
        <w:pStyle w:val="30"/>
        <w:keepNext w:val="0"/>
        <w:keepLines w:val="0"/>
        <w:pageBreakBefore w:val="0"/>
        <w:widowControl/>
        <w:numPr>
          <w:ilvl w:val="0"/>
          <w:numId w:val="0"/>
        </w:numPr>
        <w:kinsoku/>
        <w:wordWrap/>
        <w:overflowPunct/>
        <w:topLinePunct w:val="0"/>
        <w:autoSpaceDE w:val="0"/>
        <w:autoSpaceDN w:val="0"/>
        <w:bidi w:val="0"/>
        <w:adjustRightInd/>
        <w:snapToGrid/>
        <w:spacing w:line="360" w:lineRule="auto"/>
        <w:textAlignment w:val="auto"/>
        <w:rPr>
          <w:rFonts w:hint="eastAsia"/>
          <w:szCs w:val="24"/>
        </w:rPr>
      </w:pPr>
    </w:p>
    <w:p>
      <w:pPr>
        <w:pStyle w:val="30"/>
        <w:keepNext w:val="0"/>
        <w:keepLines w:val="0"/>
        <w:pageBreakBefore w:val="0"/>
        <w:widowControl/>
        <w:numPr>
          <w:ilvl w:val="0"/>
          <w:numId w:val="12"/>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lang w:val="en-US" w:eastAsia="zh-CN"/>
        </w:rPr>
        <w:t>模拟</w:t>
      </w:r>
      <w:r>
        <w:rPr>
          <w:rFonts w:hint="eastAsia"/>
          <w:szCs w:val="24"/>
        </w:rPr>
        <w:t>测试环境接入申请审批服务</w:t>
      </w:r>
      <w:r>
        <w:rPr>
          <w:rFonts w:hint="eastAsia"/>
          <w:szCs w:val="24"/>
          <w:lang w:eastAsia="zh-CN"/>
        </w:rPr>
        <w:t>：</w:t>
      </w:r>
      <w:r>
        <w:rPr>
          <w:rFonts w:hint="eastAsia"/>
          <w:szCs w:val="24"/>
        </w:rPr>
        <w:t>提供面向辽宁</w:t>
      </w:r>
      <w:r>
        <w:rPr>
          <w:rFonts w:hint="eastAsia"/>
          <w:szCs w:val="24"/>
          <w:lang w:eastAsia="zh-CN"/>
        </w:rPr>
        <w:t>高速ETC智慧停车场</w:t>
      </w:r>
      <w:r>
        <w:rPr>
          <w:rFonts w:hint="eastAsia"/>
          <w:szCs w:val="24"/>
        </w:rPr>
        <w:t>业务管理人员，对提交模拟测试环境接入申请进行审批服务。基于服务商接入申请信息，根据业务评价条例，支持分级审批操作，并留痕每级节点审批信息与最终结果，提供审批</w:t>
      </w:r>
      <w:r>
        <w:rPr>
          <w:rFonts w:hint="eastAsia"/>
          <w:szCs w:val="24"/>
          <w:lang w:val="en-US" w:eastAsia="zh-CN"/>
        </w:rPr>
        <w:t>过程中</w:t>
      </w:r>
      <w:r>
        <w:rPr>
          <w:rFonts w:hint="eastAsia"/>
          <w:szCs w:val="24"/>
        </w:rPr>
        <w:t>状态的实时查询，与审批结束</w:t>
      </w:r>
      <w:r>
        <w:rPr>
          <w:rFonts w:hint="eastAsia"/>
          <w:szCs w:val="24"/>
          <w:lang w:val="en-US" w:eastAsia="zh-CN"/>
        </w:rPr>
        <w:t>后</w:t>
      </w:r>
      <w:r>
        <w:rPr>
          <w:rFonts w:hint="eastAsia"/>
          <w:szCs w:val="24"/>
        </w:rPr>
        <w:t>历史</w:t>
      </w:r>
      <w:r>
        <w:rPr>
          <w:rFonts w:hint="eastAsia"/>
          <w:szCs w:val="24"/>
          <w:lang w:val="en-US" w:eastAsia="zh-CN"/>
        </w:rPr>
        <w:t>审批信息</w:t>
      </w:r>
      <w:r>
        <w:rPr>
          <w:rFonts w:hint="eastAsia"/>
          <w:szCs w:val="24"/>
        </w:rPr>
        <w:t>查询功能。审批内容：对接平台模拟测试环境接入申请信息。审批方式：支持多级在线自定义审批流程</w:t>
      </w:r>
      <w:r>
        <w:rPr>
          <w:rFonts w:hint="eastAsia"/>
          <w:szCs w:val="24"/>
          <w:lang w:eastAsia="zh-CN"/>
        </w:rPr>
        <w:t>；</w:t>
      </w:r>
    </w:p>
    <w:p>
      <w:pPr>
        <w:pStyle w:val="30"/>
        <w:keepNext w:val="0"/>
        <w:keepLines w:val="0"/>
        <w:pageBreakBefore w:val="0"/>
        <w:widowControl/>
        <w:numPr>
          <w:ilvl w:val="0"/>
          <w:numId w:val="12"/>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lang w:val="en-US" w:eastAsia="zh-CN"/>
        </w:rPr>
        <w:t>模拟测试环境接入申请结果反馈服务：</w:t>
      </w:r>
      <w:r>
        <w:rPr>
          <w:rFonts w:hint="eastAsia"/>
          <w:szCs w:val="24"/>
        </w:rPr>
        <w:t>提供对停车场（库）业主或集成商申请结果反馈服务。申请结果通过后，系统将以短信与电子邮件形式，将模拟测试环境接入授权密钥，以短信或邮件的形式发送给停车场（库）业主或集成商，用于接入联调使用。申请结果未通过，系统将以短信或邮件的形式，发送给停车场（库）业主或集成商，告知审批结果与原因</w:t>
      </w:r>
      <w:r>
        <w:rPr>
          <w:rFonts w:hint="eastAsia"/>
          <w:szCs w:val="24"/>
          <w:lang w:eastAsia="zh-CN"/>
        </w:rPr>
        <w:t>；</w:t>
      </w:r>
    </w:p>
    <w:p>
      <w:pPr>
        <w:pStyle w:val="30"/>
        <w:keepNext w:val="0"/>
        <w:keepLines w:val="0"/>
        <w:pageBreakBefore w:val="0"/>
        <w:widowControl/>
        <w:numPr>
          <w:ilvl w:val="0"/>
          <w:numId w:val="12"/>
        </w:numPr>
        <w:kinsoku/>
        <w:wordWrap/>
        <w:overflowPunct/>
        <w:topLinePunct w:val="0"/>
        <w:autoSpaceDE w:val="0"/>
        <w:autoSpaceDN w:val="0"/>
        <w:bidi w:val="0"/>
        <w:adjustRightInd/>
        <w:snapToGrid/>
        <w:spacing w:line="360" w:lineRule="auto"/>
        <w:ind w:firstLine="420" w:firstLineChars="200"/>
        <w:textAlignment w:val="auto"/>
        <w:rPr>
          <w:rFonts w:hint="eastAsia" w:eastAsia="宋体"/>
          <w:szCs w:val="24"/>
          <w:lang w:eastAsia="zh-CN"/>
        </w:rPr>
      </w:pPr>
      <w:r>
        <w:rPr>
          <w:rFonts w:hint="eastAsia"/>
          <w:szCs w:val="24"/>
          <w:lang w:val="en-US" w:eastAsia="zh-CN"/>
        </w:rPr>
        <w:t>模拟测试环境对接过程响应与报告生成：</w:t>
      </w:r>
      <w:r>
        <w:rPr>
          <w:rFonts w:hint="eastAsia"/>
          <w:szCs w:val="24"/>
        </w:rPr>
        <w:t>提供对接口联调过程信息记录与历史过程查询。提供对接口联调过程错误信息反馈及联调通过电子报告。电子报告为接口全部调试通过后系统生成，报告内容包括：调试接口内容、调试接口起始时间、结束时间</w:t>
      </w:r>
      <w:r>
        <w:rPr>
          <w:rFonts w:hint="eastAsia"/>
          <w:szCs w:val="24"/>
          <w:lang w:val="en-US" w:eastAsia="zh-CN"/>
        </w:rPr>
        <w:t>及</w:t>
      </w:r>
      <w:r>
        <w:rPr>
          <w:rFonts w:hint="eastAsia"/>
          <w:szCs w:val="24"/>
        </w:rPr>
        <w:t>接口调试过程中异常事件统计，及报告通过证书ID</w:t>
      </w:r>
      <w:r>
        <w:rPr>
          <w:rFonts w:hint="eastAsia"/>
          <w:szCs w:val="24"/>
          <w:lang w:eastAsia="zh-CN"/>
        </w:rPr>
        <w:t>。</w:t>
      </w:r>
      <w:r>
        <w:rPr>
          <w:rFonts w:hint="eastAsia"/>
          <w:szCs w:val="24"/>
        </w:rPr>
        <w:t>通过证书ID基于停车场（库）业主或集成商注册信息、调试接口</w:t>
      </w:r>
      <w:r>
        <w:rPr>
          <w:rFonts w:hint="eastAsia"/>
          <w:szCs w:val="24"/>
          <w:lang w:val="en-US" w:eastAsia="zh-CN"/>
        </w:rPr>
        <w:t>及</w:t>
      </w:r>
      <w:r>
        <w:rPr>
          <w:rFonts w:hint="eastAsia"/>
          <w:szCs w:val="24"/>
        </w:rPr>
        <w:t>调试通过时间等关键信息，按业务规则生成由字符与数字构成32位长的唯一编码，并存于平台与电子报告中，用于后期平台在接入正式环境时验证电子报告使用（在接入正式环境前，必须完成模拟环境对接联调）</w:t>
      </w:r>
      <w:r>
        <w:rPr>
          <w:rFonts w:hint="eastAsia"/>
          <w:szCs w:val="24"/>
          <w:lang w:eastAsia="zh-CN"/>
        </w:rPr>
        <w:t>；</w:t>
      </w:r>
    </w:p>
    <w:p>
      <w:pPr>
        <w:pStyle w:val="30"/>
        <w:keepNext w:val="0"/>
        <w:keepLines w:val="0"/>
        <w:pageBreakBefore w:val="0"/>
        <w:widowControl/>
        <w:numPr>
          <w:ilvl w:val="0"/>
          <w:numId w:val="12"/>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lang w:val="en-US" w:eastAsia="zh-CN"/>
        </w:rPr>
        <w:t>正式环境接入申请服务：</w:t>
      </w:r>
      <w:r>
        <w:rPr>
          <w:rFonts w:hint="eastAsia"/>
          <w:szCs w:val="24"/>
        </w:rPr>
        <w:t>当且仅当模拟环境联调通过后，方可申请接入正式环境。提供面向停车场（库）业主或集成商接入正式环境申请服务，用于正式接入生产环境。申请方式应支持线上申请，在使用账号登录</w:t>
      </w:r>
      <w:r>
        <w:rPr>
          <w:rFonts w:hint="eastAsia"/>
          <w:szCs w:val="24"/>
          <w:lang w:val="en-US" w:eastAsia="zh-CN"/>
        </w:rPr>
        <w:t>后</w:t>
      </w:r>
      <w:r>
        <w:rPr>
          <w:rFonts w:hint="eastAsia"/>
          <w:szCs w:val="24"/>
        </w:rPr>
        <w:t>，填写与提交</w:t>
      </w:r>
      <w:r>
        <w:rPr>
          <w:rFonts w:hint="eastAsia"/>
          <w:szCs w:val="24"/>
          <w:lang w:val="en-US" w:eastAsia="zh-CN"/>
        </w:rPr>
        <w:t>内容</w:t>
      </w:r>
      <w:r>
        <w:rPr>
          <w:rFonts w:hint="eastAsia"/>
          <w:szCs w:val="24"/>
        </w:rPr>
        <w:t>包括但不限于如</w:t>
      </w:r>
      <w:r>
        <w:rPr>
          <w:rFonts w:hint="eastAsia"/>
          <w:szCs w:val="24"/>
          <w:lang w:eastAsia="zh-CN"/>
        </w:rPr>
        <w:t>表</w:t>
      </w:r>
      <w:r>
        <w:rPr>
          <w:rFonts w:hint="eastAsia"/>
          <w:szCs w:val="24"/>
        </w:rPr>
        <w:t>7所示：</w:t>
      </w:r>
    </w:p>
    <w:p>
      <w:pPr>
        <w:numPr>
          <w:ilvl w:val="0"/>
          <w:numId w:val="0"/>
        </w:numPr>
        <w:spacing w:line="360" w:lineRule="auto"/>
        <w:ind w:left="840" w:firstLine="0"/>
        <w:jc w:val="center"/>
        <w:rPr>
          <w:rFonts w:hint="eastAsia" w:ascii="黑体" w:hAnsi="黑体" w:eastAsia="黑体" w:cs="黑体"/>
          <w:szCs w:val="24"/>
        </w:rPr>
      </w:pPr>
      <w:r>
        <w:rPr>
          <w:rFonts w:hint="eastAsia" w:ascii="黑体" w:hAnsi="黑体" w:eastAsia="黑体" w:cs="黑体"/>
          <w:szCs w:val="24"/>
        </w:rPr>
        <w:t>表7</w:t>
      </w:r>
      <w:r>
        <w:rPr>
          <w:rFonts w:hint="eastAsia" w:ascii="黑体" w:hAnsi="黑体" w:eastAsia="黑体" w:cs="黑体"/>
          <w:szCs w:val="24"/>
          <w:lang w:eastAsia="zh-CN"/>
        </w:rPr>
        <w:t>　</w:t>
      </w:r>
      <w:r>
        <w:rPr>
          <w:rFonts w:hint="eastAsia" w:ascii="黑体" w:hAnsi="黑体" w:eastAsia="黑体" w:cs="黑体"/>
          <w:szCs w:val="24"/>
        </w:rPr>
        <w:t>正式环境接入申请信息项</w:t>
      </w:r>
    </w:p>
    <w:tbl>
      <w:tblPr>
        <w:tblStyle w:val="9"/>
        <w:tblW w:w="755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73"/>
        <w:gridCol w:w="2126"/>
        <w:gridCol w:w="42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jc w:val="center"/>
              <w:rPr>
                <w:rStyle w:val="12"/>
                <w:rFonts w:hint="eastAsia" w:ascii="宋体" w:hAnsi="宋体" w:eastAsia="宋体" w:cs="宋体"/>
                <w:sz w:val="18"/>
                <w:szCs w:val="18"/>
              </w:rPr>
            </w:pPr>
            <w:r>
              <w:rPr>
                <w:rStyle w:val="12"/>
                <w:rFonts w:hint="eastAsia" w:ascii="宋体" w:hAnsi="宋体" w:eastAsia="宋体" w:cs="宋体"/>
                <w:sz w:val="18"/>
                <w:szCs w:val="18"/>
              </w:rPr>
              <w:t>序号</w:t>
            </w:r>
          </w:p>
        </w:tc>
        <w:tc>
          <w:tcPr>
            <w:tcW w:w="2126" w:type="dxa"/>
            <w:noWrap w:val="0"/>
            <w:vAlign w:val="center"/>
          </w:tcPr>
          <w:p>
            <w:pPr>
              <w:pStyle w:val="8"/>
              <w:spacing w:before="0" w:after="120" w:line="360" w:lineRule="auto"/>
              <w:jc w:val="center"/>
              <w:rPr>
                <w:rStyle w:val="12"/>
                <w:rFonts w:hint="eastAsia" w:ascii="宋体" w:hAnsi="宋体" w:eastAsia="宋体" w:cs="宋体"/>
                <w:sz w:val="18"/>
                <w:szCs w:val="18"/>
              </w:rPr>
            </w:pPr>
            <w:r>
              <w:rPr>
                <w:rStyle w:val="12"/>
                <w:rFonts w:hint="eastAsia" w:ascii="宋体" w:hAnsi="宋体" w:eastAsia="宋体" w:cs="宋体"/>
                <w:sz w:val="18"/>
                <w:szCs w:val="18"/>
              </w:rPr>
              <w:t>信息项</w:t>
            </w:r>
          </w:p>
        </w:tc>
        <w:tc>
          <w:tcPr>
            <w:tcW w:w="4252" w:type="dxa"/>
            <w:noWrap w:val="0"/>
            <w:vAlign w:val="center"/>
          </w:tcPr>
          <w:p>
            <w:pPr>
              <w:pStyle w:val="8"/>
              <w:spacing w:before="0" w:after="120" w:line="360" w:lineRule="auto"/>
              <w:jc w:val="center"/>
              <w:rPr>
                <w:rStyle w:val="12"/>
                <w:rFonts w:hint="eastAsia" w:ascii="宋体" w:hAnsi="宋体" w:eastAsia="宋体" w:cs="宋体"/>
                <w:sz w:val="18"/>
                <w:szCs w:val="18"/>
              </w:rPr>
            </w:pPr>
            <w:r>
              <w:rPr>
                <w:rStyle w:val="12"/>
                <w:rFonts w:hint="eastAsia" w:ascii="宋体" w:hAnsi="宋体" w:eastAsia="宋体" w:cs="宋体"/>
                <w:sz w:val="18"/>
                <w:szCs w:val="18"/>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1</w:t>
            </w:r>
          </w:p>
        </w:tc>
        <w:tc>
          <w:tcPr>
            <w:tcW w:w="2126"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模拟测试接口联调电子报告</w:t>
            </w:r>
          </w:p>
        </w:tc>
        <w:tc>
          <w:tcPr>
            <w:tcW w:w="4252" w:type="dxa"/>
            <w:noWrap w:val="0"/>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模拟环境中完成预计联调测试接口联调后，生成联调通过结果电子报告，作为对接测试联调通过证明，即接入生产环境的准入条件。</w:t>
            </w:r>
          </w:p>
        </w:tc>
      </w:tr>
    </w:tbl>
    <w:p>
      <w:pPr>
        <w:numPr>
          <w:ilvl w:val="0"/>
          <w:numId w:val="0"/>
        </w:numPr>
        <w:spacing w:line="360" w:lineRule="auto"/>
        <w:ind w:left="840" w:firstLine="0"/>
        <w:rPr>
          <w:rFonts w:hint="eastAsia"/>
          <w:szCs w:val="24"/>
        </w:rPr>
      </w:pPr>
    </w:p>
    <w:p>
      <w:pPr>
        <w:pStyle w:val="30"/>
        <w:keepNext w:val="0"/>
        <w:keepLines w:val="0"/>
        <w:pageBreakBefore w:val="0"/>
        <w:widowControl/>
        <w:numPr>
          <w:ilvl w:val="0"/>
          <w:numId w:val="12"/>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kern w:val="2"/>
          <w:sz w:val="21"/>
          <w:szCs w:val="24"/>
          <w:lang w:val="en-US" w:eastAsia="zh-CN" w:bidi="ar-SA"/>
        </w:rPr>
      </w:pPr>
      <w:r>
        <w:rPr>
          <w:rFonts w:hint="eastAsia"/>
          <w:szCs w:val="24"/>
          <w:lang w:val="en-US" w:eastAsia="zh-CN"/>
        </w:rPr>
        <w:t>正式环境接入申请审批服务：</w:t>
      </w:r>
      <w:r>
        <w:rPr>
          <w:rFonts w:hint="eastAsia" w:ascii="宋体" w:hAnsi="宋体" w:eastAsia="宋体" w:cs="宋体"/>
          <w:kern w:val="2"/>
          <w:sz w:val="21"/>
          <w:szCs w:val="24"/>
          <w:lang w:val="en-US" w:eastAsia="zh-CN" w:bidi="ar-SA"/>
        </w:rPr>
        <w:t>提供面向辽宁</w:t>
      </w:r>
      <w:r>
        <w:rPr>
          <w:rFonts w:hint="eastAsia" w:ascii="宋体" w:hAnsi="宋体" w:cs="宋体"/>
          <w:kern w:val="2"/>
          <w:sz w:val="21"/>
          <w:szCs w:val="24"/>
          <w:lang w:val="en-US" w:eastAsia="zh-CN" w:bidi="ar-SA"/>
        </w:rPr>
        <w:t>高速ETC智慧停车场</w:t>
      </w:r>
      <w:r>
        <w:rPr>
          <w:rFonts w:hint="eastAsia" w:ascii="宋体" w:hAnsi="宋体" w:eastAsia="宋体" w:cs="宋体"/>
          <w:kern w:val="2"/>
          <w:sz w:val="21"/>
          <w:szCs w:val="24"/>
          <w:lang w:val="en-US" w:eastAsia="zh-CN" w:bidi="ar-SA"/>
        </w:rPr>
        <w:t>业务管理人员，对提交对接正式环境申请进行审批服务。基于服务商接入申请信息，根据业务评价条例，支持分级审批操作，并留痕每级节点审批信息与最终结果，提供审批</w:t>
      </w:r>
      <w:r>
        <w:rPr>
          <w:rFonts w:hint="eastAsia" w:hAnsi="宋体" w:cs="宋体"/>
          <w:kern w:val="2"/>
          <w:sz w:val="21"/>
          <w:szCs w:val="24"/>
          <w:lang w:val="en-US" w:eastAsia="zh-CN" w:bidi="ar-SA"/>
        </w:rPr>
        <w:t>过程</w:t>
      </w:r>
      <w:r>
        <w:rPr>
          <w:rFonts w:hint="eastAsia" w:ascii="宋体" w:hAnsi="宋体" w:eastAsia="宋体" w:cs="宋体"/>
          <w:kern w:val="2"/>
          <w:sz w:val="21"/>
          <w:szCs w:val="24"/>
          <w:lang w:val="en-US" w:eastAsia="zh-CN" w:bidi="ar-SA"/>
        </w:rPr>
        <w:t>中</w:t>
      </w:r>
      <w:r>
        <w:rPr>
          <w:rFonts w:hint="eastAsia" w:hAnsi="宋体" w:cs="宋体"/>
          <w:kern w:val="2"/>
          <w:sz w:val="21"/>
          <w:szCs w:val="24"/>
          <w:lang w:val="en-US" w:eastAsia="zh-CN" w:bidi="ar-SA"/>
        </w:rPr>
        <w:t>审批</w:t>
      </w:r>
      <w:r>
        <w:rPr>
          <w:rFonts w:hint="eastAsia" w:ascii="宋体" w:hAnsi="宋体" w:eastAsia="宋体" w:cs="宋体"/>
          <w:kern w:val="2"/>
          <w:sz w:val="21"/>
          <w:szCs w:val="24"/>
          <w:lang w:val="en-US" w:eastAsia="zh-CN" w:bidi="ar-SA"/>
        </w:rPr>
        <w:t>状态的实时查询，与审批结束</w:t>
      </w:r>
      <w:r>
        <w:rPr>
          <w:rFonts w:hint="eastAsia" w:hAnsi="宋体" w:cs="宋体"/>
          <w:kern w:val="2"/>
          <w:sz w:val="21"/>
          <w:szCs w:val="24"/>
          <w:lang w:val="en-US" w:eastAsia="zh-CN" w:bidi="ar-SA"/>
        </w:rPr>
        <w:t>后</w:t>
      </w:r>
      <w:r>
        <w:rPr>
          <w:rFonts w:hint="eastAsia" w:ascii="宋体" w:hAnsi="宋体" w:eastAsia="宋体" w:cs="宋体"/>
          <w:kern w:val="2"/>
          <w:sz w:val="21"/>
          <w:szCs w:val="24"/>
          <w:lang w:val="en-US" w:eastAsia="zh-CN" w:bidi="ar-SA"/>
        </w:rPr>
        <w:t>历史</w:t>
      </w:r>
      <w:r>
        <w:rPr>
          <w:rFonts w:hint="eastAsia" w:hAnsi="宋体" w:cs="宋体"/>
          <w:kern w:val="2"/>
          <w:sz w:val="21"/>
          <w:szCs w:val="24"/>
          <w:lang w:val="en-US" w:eastAsia="zh-CN" w:bidi="ar-SA"/>
        </w:rPr>
        <w:t>审批信息</w:t>
      </w:r>
      <w:r>
        <w:rPr>
          <w:rFonts w:hint="eastAsia" w:ascii="宋体" w:hAnsi="宋体" w:eastAsia="宋体" w:cs="宋体"/>
          <w:kern w:val="2"/>
          <w:sz w:val="21"/>
          <w:szCs w:val="24"/>
          <w:lang w:val="en-US" w:eastAsia="zh-CN" w:bidi="ar-SA"/>
        </w:rPr>
        <w:t>查询功能。审批内容：对接平台正式环境申请信息。审批方式：支持多级在线自定义审批流程</w:t>
      </w:r>
      <w:r>
        <w:rPr>
          <w:rFonts w:hint="eastAsia" w:hAnsi="宋体" w:cs="宋体"/>
          <w:kern w:val="2"/>
          <w:sz w:val="21"/>
          <w:szCs w:val="24"/>
          <w:lang w:val="en-US" w:eastAsia="zh-CN" w:bidi="ar-SA"/>
        </w:rPr>
        <w:t>；</w:t>
      </w:r>
    </w:p>
    <w:p>
      <w:pPr>
        <w:pStyle w:val="30"/>
        <w:keepNext w:val="0"/>
        <w:keepLines w:val="0"/>
        <w:pageBreakBefore w:val="0"/>
        <w:widowControl/>
        <w:numPr>
          <w:ilvl w:val="0"/>
          <w:numId w:val="12"/>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kern w:val="2"/>
          <w:sz w:val="21"/>
          <w:szCs w:val="24"/>
          <w:lang w:val="en-US" w:eastAsia="zh-CN" w:bidi="ar-SA"/>
        </w:rPr>
      </w:pPr>
      <w:r>
        <w:rPr>
          <w:rFonts w:hint="eastAsia"/>
          <w:szCs w:val="24"/>
          <w:lang w:val="en-US" w:eastAsia="zh-CN"/>
        </w:rPr>
        <w:t>正式环境接入申请结果反馈服务：</w:t>
      </w:r>
      <w:r>
        <w:rPr>
          <w:rFonts w:hint="eastAsia" w:ascii="宋体" w:hAnsi="宋体" w:eastAsia="宋体" w:cs="宋体"/>
          <w:kern w:val="2"/>
          <w:sz w:val="21"/>
          <w:szCs w:val="24"/>
          <w:lang w:val="en-US" w:eastAsia="zh-CN" w:bidi="ar-SA"/>
        </w:rPr>
        <w:t>提供对停车场（库）业主或集成商申请结果反馈服务。申请结果通过后，系统将以短信与电子邮件形式，将正式环境接入授权密钥，以短信或邮件形式发送给停车场（库）业主，用于接入使用。申请结果未通过，系统将以短信或邮件的形式，发送给停车场（库）业主或集成商，告知审批结果与原因</w:t>
      </w:r>
      <w:r>
        <w:rPr>
          <w:rFonts w:hint="eastAsia" w:hAnsi="宋体" w:cs="宋体"/>
          <w:kern w:val="2"/>
          <w:sz w:val="21"/>
          <w:szCs w:val="24"/>
          <w:lang w:val="en-US" w:eastAsia="zh-CN" w:bidi="ar-SA"/>
        </w:rPr>
        <w:t>；</w:t>
      </w:r>
    </w:p>
    <w:p>
      <w:pPr>
        <w:pStyle w:val="30"/>
        <w:keepNext w:val="0"/>
        <w:keepLines w:val="0"/>
        <w:pageBreakBefore w:val="0"/>
        <w:widowControl/>
        <w:numPr>
          <w:ilvl w:val="0"/>
          <w:numId w:val="12"/>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lang w:val="en-US" w:eastAsia="zh-CN"/>
        </w:rPr>
        <w:t>正式环境接入响应：</w:t>
      </w:r>
      <w:r>
        <w:rPr>
          <w:rFonts w:hint="eastAsia"/>
          <w:szCs w:val="24"/>
        </w:rPr>
        <w:t>提供对接口接入事件的记录，包括但不限于接口名称、调用时间</w:t>
      </w:r>
      <w:r>
        <w:rPr>
          <w:rFonts w:hint="eastAsia"/>
          <w:szCs w:val="24"/>
          <w:lang w:val="en-US" w:eastAsia="zh-CN"/>
        </w:rPr>
        <w:t>和</w:t>
      </w:r>
      <w:r>
        <w:rPr>
          <w:rFonts w:hint="eastAsia"/>
          <w:szCs w:val="24"/>
        </w:rPr>
        <w:t>账号名称。提供对接口调用情况查询，包括但不限于账号名称、接口名称</w:t>
      </w:r>
      <w:r>
        <w:rPr>
          <w:rFonts w:hint="eastAsia"/>
          <w:szCs w:val="24"/>
          <w:lang w:val="en-US" w:eastAsia="zh-CN"/>
        </w:rPr>
        <w:t>和</w:t>
      </w:r>
      <w:r>
        <w:rPr>
          <w:rFonts w:hint="eastAsia"/>
          <w:szCs w:val="24"/>
        </w:rPr>
        <w:t>时间范围。</w:t>
      </w:r>
    </w:p>
    <w:p>
      <w:pPr>
        <w:pStyle w:val="33"/>
        <w:spacing w:before="156" w:after="156" w:line="360" w:lineRule="auto"/>
        <w:rPr>
          <w:rFonts w:hint="eastAsia"/>
          <w:szCs w:val="24"/>
        </w:rPr>
      </w:pPr>
      <w:bookmarkStart w:id="112" w:name="_Toc30438"/>
      <w:r>
        <w:rPr>
          <w:rFonts w:hint="eastAsia"/>
          <w:szCs w:val="24"/>
        </w:rPr>
        <w:t>准入停车场（库）ETC交易信息管理</w:t>
      </w:r>
      <w:bookmarkEnd w:id="112"/>
    </w:p>
    <w:p>
      <w:pPr>
        <w:numPr>
          <w:ilvl w:val="0"/>
          <w:numId w:val="0"/>
        </w:numPr>
        <w:spacing w:line="360" w:lineRule="auto"/>
        <w:ind w:firstLine="420" w:firstLineChars="0"/>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该平台</w:t>
      </w:r>
      <w:r>
        <w:rPr>
          <w:rFonts w:hint="eastAsia" w:ascii="宋体" w:hAnsi="宋体" w:cs="宋体"/>
          <w:kern w:val="2"/>
          <w:sz w:val="21"/>
          <w:szCs w:val="24"/>
          <w:lang w:val="en-US" w:eastAsia="zh-CN" w:bidi="ar-SA"/>
        </w:rPr>
        <w:t>应</w:t>
      </w:r>
      <w:r>
        <w:rPr>
          <w:rFonts w:hint="eastAsia" w:ascii="宋体" w:hAnsi="宋体" w:eastAsia="宋体" w:cs="宋体"/>
          <w:kern w:val="2"/>
          <w:sz w:val="21"/>
          <w:szCs w:val="24"/>
          <w:lang w:val="en-US" w:eastAsia="zh-CN" w:bidi="ar-SA"/>
        </w:rPr>
        <w:t>将停车场（库）上报ETC交易信息，</w:t>
      </w:r>
      <w:r>
        <w:rPr>
          <w:rFonts w:hint="eastAsia" w:ascii="宋体" w:hAnsi="宋体" w:cs="宋体"/>
          <w:kern w:val="2"/>
          <w:sz w:val="21"/>
          <w:szCs w:val="24"/>
          <w:lang w:val="en-US" w:eastAsia="zh-CN" w:bidi="ar-SA"/>
        </w:rPr>
        <w:t>按照</w:t>
      </w:r>
      <w:r>
        <w:rPr>
          <w:rFonts w:hint="eastAsia" w:ascii="宋体" w:hAnsi="宋体" w:eastAsia="宋体" w:cs="宋体"/>
          <w:kern w:val="2"/>
          <w:sz w:val="21"/>
          <w:szCs w:val="24"/>
          <w:lang w:val="en-US" w:eastAsia="zh-CN" w:bidi="ar-SA"/>
        </w:rPr>
        <w:t>《ETC智慧停车场</w:t>
      </w:r>
      <w:r>
        <w:rPr>
          <w:rFonts w:hint="eastAsia" w:ascii="宋体" w:hAnsi="宋体" w:cs="宋体"/>
          <w:kern w:val="2"/>
          <w:sz w:val="21"/>
          <w:szCs w:val="24"/>
          <w:lang w:val="en-US" w:eastAsia="zh-CN" w:bidi="ar-SA"/>
        </w:rPr>
        <w:t xml:space="preserve"> </w:t>
      </w:r>
      <w:r>
        <w:rPr>
          <w:rFonts w:hint="eastAsia" w:ascii="宋体" w:hAnsi="宋体" w:eastAsia="宋体" w:cs="宋体"/>
          <w:kern w:val="2"/>
          <w:sz w:val="21"/>
          <w:szCs w:val="24"/>
          <w:lang w:val="en-US" w:eastAsia="zh-CN" w:bidi="ar-SA"/>
        </w:rPr>
        <w:t>数据交互要求》</w:t>
      </w:r>
      <w:r>
        <w:rPr>
          <w:rFonts w:hint="eastAsia" w:ascii="宋体" w:hAnsi="宋体" w:cs="宋体"/>
          <w:kern w:val="2"/>
          <w:sz w:val="21"/>
          <w:szCs w:val="24"/>
          <w:lang w:val="en-US" w:eastAsia="zh-CN" w:bidi="ar-SA"/>
        </w:rPr>
        <w:t>的规定</w:t>
      </w:r>
      <w:r>
        <w:rPr>
          <w:rFonts w:hint="eastAsia" w:ascii="宋体" w:hAnsi="宋体" w:eastAsia="宋体" w:cs="宋体"/>
          <w:kern w:val="2"/>
          <w:sz w:val="21"/>
          <w:szCs w:val="24"/>
          <w:lang w:val="en-US" w:eastAsia="zh-CN" w:bidi="ar-SA"/>
        </w:rPr>
        <w:t>，上报到辽宁高速ETC拓展服务平台，由辽宁高速ETC拓展服务平台完成ETC交易的清分与结算。本平台需要能够对该类数据在上报辽宁高速ETC拓展服务平台前，按业务规则进行数据业务质量管理，确保上报数据有效。对识别出的异常数据平台应给予停车场（库）系统下发异常消息，用于</w:t>
      </w:r>
      <w:r>
        <w:rPr>
          <w:rFonts w:hint="eastAsia" w:ascii="宋体" w:hAnsi="宋体" w:cs="宋体"/>
          <w:kern w:val="2"/>
          <w:sz w:val="21"/>
          <w:szCs w:val="24"/>
          <w:lang w:val="en-US" w:eastAsia="zh-CN" w:bidi="ar-SA"/>
        </w:rPr>
        <w:t>停车场（库）信息管理系统</w:t>
      </w:r>
      <w:r>
        <w:rPr>
          <w:rFonts w:hint="eastAsia" w:ascii="宋体" w:hAnsi="宋体" w:eastAsia="宋体" w:cs="宋体"/>
          <w:kern w:val="2"/>
          <w:sz w:val="21"/>
          <w:szCs w:val="24"/>
          <w:lang w:val="en-US" w:eastAsia="zh-CN" w:bidi="ar-SA"/>
        </w:rPr>
        <w:t>基于消息对上报数据进行问题确认与修正，以便再次上报。</w:t>
      </w:r>
    </w:p>
    <w:p>
      <w:pPr>
        <w:pStyle w:val="30"/>
        <w:keepNext w:val="0"/>
        <w:keepLines w:val="0"/>
        <w:pageBreakBefore w:val="0"/>
        <w:widowControl/>
        <w:numPr>
          <w:ilvl w:val="0"/>
          <w:numId w:val="13"/>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Cs w:val="24"/>
        </w:rPr>
      </w:pPr>
      <w:r>
        <w:rPr>
          <w:rFonts w:hint="eastAsia" w:ascii="宋体" w:hAnsi="宋体" w:eastAsia="宋体" w:cs="宋体"/>
          <w:szCs w:val="24"/>
        </w:rPr>
        <w:t>ETC支付数据质量保障服务</w:t>
      </w:r>
      <w:r>
        <w:rPr>
          <w:rFonts w:hint="eastAsia" w:hAnsi="宋体" w:cs="宋体"/>
          <w:szCs w:val="24"/>
          <w:lang w:eastAsia="zh-CN"/>
        </w:rPr>
        <w:t>：</w:t>
      </w:r>
      <w:r>
        <w:rPr>
          <w:rFonts w:hint="eastAsia" w:ascii="宋体" w:hAnsi="宋体" w:eastAsia="宋体" w:cs="宋体"/>
          <w:szCs w:val="24"/>
        </w:rPr>
        <w:t>应提供对停车场（库）上报的ETC交易数据进行分析，并给予</w:t>
      </w:r>
      <w:r>
        <w:rPr>
          <w:rFonts w:hint="eastAsia" w:hAnsi="宋体" w:cs="宋体"/>
          <w:szCs w:val="24"/>
          <w:lang w:eastAsia="zh-CN"/>
        </w:rPr>
        <w:t>停车场（库）信息管理系统</w:t>
      </w:r>
      <w:r>
        <w:rPr>
          <w:rFonts w:hint="eastAsia" w:ascii="宋体" w:hAnsi="宋体" w:eastAsia="宋体" w:cs="宋体"/>
          <w:szCs w:val="24"/>
        </w:rPr>
        <w:t>下达消息反馈</w:t>
      </w:r>
      <w:r>
        <w:rPr>
          <w:rFonts w:hint="eastAsia" w:hAnsi="宋体" w:cs="宋体"/>
          <w:szCs w:val="24"/>
          <w:lang w:eastAsia="zh-CN"/>
        </w:rPr>
        <w:t>，</w:t>
      </w:r>
      <w:r>
        <w:rPr>
          <w:rFonts w:hint="eastAsia" w:ascii="宋体" w:hAnsi="宋体" w:eastAsia="宋体" w:cs="宋体"/>
          <w:szCs w:val="24"/>
        </w:rPr>
        <w:t>可识别出包括但不限于如下内容</w:t>
      </w:r>
      <w:r>
        <w:rPr>
          <w:rFonts w:hint="eastAsia" w:hAnsi="宋体" w:cs="宋体"/>
          <w:szCs w:val="24"/>
          <w:lang w:eastAsia="zh-CN"/>
        </w:rPr>
        <w:t>：</w:t>
      </w:r>
    </w:p>
    <w:p>
      <w:pPr>
        <w:numPr>
          <w:ilvl w:val="0"/>
          <w:numId w:val="14"/>
        </w:numPr>
        <w:spacing w:line="360" w:lineRule="auto"/>
        <w:ind w:left="210" w:leftChars="0" w:firstLine="420" w:firstLineChars="0"/>
        <w:rPr>
          <w:rFonts w:hint="eastAsia" w:ascii="宋体" w:hAnsi="宋体" w:eastAsia="宋体" w:cs="宋体"/>
          <w:kern w:val="2"/>
          <w:sz w:val="21"/>
          <w:szCs w:val="24"/>
          <w:lang w:val="en-US" w:eastAsia="zh-CN" w:bidi="ar-SA"/>
        </w:rPr>
      </w:pPr>
      <w:r>
        <w:rPr>
          <w:rFonts w:hint="eastAsia" w:ascii="宋体" w:hAnsi="宋体" w:eastAsia="宋体" w:cs="宋体"/>
          <w:szCs w:val="24"/>
        </w:rPr>
        <w:t>ETC重复扣费数据过滤</w:t>
      </w:r>
      <w:r>
        <w:rPr>
          <w:rFonts w:hint="eastAsia" w:ascii="宋体" w:hAnsi="宋体" w:cs="宋体"/>
          <w:szCs w:val="24"/>
          <w:lang w:eastAsia="zh-CN"/>
        </w:rPr>
        <w:t>：</w:t>
      </w:r>
      <w:r>
        <w:rPr>
          <w:rFonts w:hint="eastAsia" w:ascii="宋体" w:hAnsi="宋体" w:eastAsia="宋体" w:cs="宋体"/>
          <w:kern w:val="2"/>
          <w:sz w:val="21"/>
          <w:szCs w:val="24"/>
          <w:lang w:val="en-US" w:eastAsia="zh-CN" w:bidi="ar-SA"/>
        </w:rPr>
        <w:t>提供通过数据分析识别同一车辆ETC重复扣费事件功能，若上报数据存在此事件，则停止上报辽宁高速ETC拓展服务平台，并向上报此数据停车场（库）系统下发ETC重复扣费事件消息；否则，正常上报ETC交易数据到辽宁高速ETC拓展服务平台</w:t>
      </w:r>
      <w:r>
        <w:rPr>
          <w:rFonts w:hint="eastAsia" w:ascii="宋体" w:hAnsi="宋体" w:cs="宋体"/>
          <w:kern w:val="2"/>
          <w:sz w:val="21"/>
          <w:szCs w:val="24"/>
          <w:lang w:val="en-US" w:eastAsia="zh-CN" w:bidi="ar-SA"/>
        </w:rPr>
        <w:t>；</w:t>
      </w:r>
    </w:p>
    <w:p>
      <w:pPr>
        <w:numPr>
          <w:ilvl w:val="0"/>
          <w:numId w:val="14"/>
        </w:numPr>
        <w:spacing w:line="360" w:lineRule="auto"/>
        <w:ind w:left="210" w:leftChars="0" w:firstLine="420" w:firstLineChars="0"/>
        <w:rPr>
          <w:rFonts w:hint="eastAsia" w:ascii="宋体" w:hAnsi="宋体" w:eastAsia="宋体" w:cs="宋体"/>
          <w:kern w:val="2"/>
          <w:sz w:val="21"/>
          <w:szCs w:val="24"/>
          <w:lang w:val="en-US" w:eastAsia="zh-CN" w:bidi="ar-SA"/>
        </w:rPr>
      </w:pPr>
      <w:r>
        <w:rPr>
          <w:rFonts w:hint="eastAsia" w:ascii="宋体" w:hAnsi="宋体" w:eastAsia="宋体" w:cs="宋体"/>
          <w:szCs w:val="24"/>
        </w:rPr>
        <w:t>ETC过期卡扣费数据过滤</w:t>
      </w:r>
      <w:r>
        <w:rPr>
          <w:rFonts w:hint="eastAsia" w:ascii="宋体" w:hAnsi="宋体" w:cs="宋体"/>
          <w:szCs w:val="24"/>
          <w:lang w:eastAsia="zh-CN"/>
        </w:rPr>
        <w:t>：</w:t>
      </w:r>
      <w:r>
        <w:rPr>
          <w:rFonts w:hint="eastAsia" w:ascii="宋体" w:hAnsi="宋体" w:eastAsia="宋体" w:cs="宋体"/>
          <w:kern w:val="2"/>
          <w:sz w:val="21"/>
          <w:szCs w:val="24"/>
          <w:lang w:val="en-US" w:eastAsia="zh-CN" w:bidi="ar-SA"/>
        </w:rPr>
        <w:t>提供通过数据分析识别车辆ETC卡过期扣费事件功能，若上报数据存在此事件，则停止上报辽宁高速ETC拓展服务平台，并向上报此数据停车场（库）系统下发ETC卡过期扣费事件消息；否则，正常上报ETC交易数据到辽宁高速ETC拓展服务平台</w:t>
      </w:r>
      <w:r>
        <w:rPr>
          <w:rFonts w:hint="eastAsia" w:ascii="宋体" w:hAnsi="宋体" w:cs="宋体"/>
          <w:kern w:val="2"/>
          <w:sz w:val="21"/>
          <w:szCs w:val="24"/>
          <w:lang w:val="en-US" w:eastAsia="zh-CN" w:bidi="ar-SA"/>
        </w:rPr>
        <w:t>；</w:t>
      </w:r>
    </w:p>
    <w:p>
      <w:pPr>
        <w:numPr>
          <w:ilvl w:val="0"/>
          <w:numId w:val="14"/>
        </w:numPr>
        <w:spacing w:line="360" w:lineRule="auto"/>
        <w:ind w:left="210" w:leftChars="0" w:firstLine="420" w:firstLineChars="0"/>
        <w:rPr>
          <w:rFonts w:hint="eastAsia" w:ascii="宋体" w:hAnsi="宋体" w:eastAsia="宋体" w:cs="宋体"/>
          <w:kern w:val="2"/>
          <w:sz w:val="21"/>
          <w:szCs w:val="24"/>
          <w:lang w:val="en-US" w:eastAsia="zh-CN" w:bidi="ar-SA"/>
        </w:rPr>
      </w:pPr>
      <w:r>
        <w:rPr>
          <w:rFonts w:hint="eastAsia" w:ascii="宋体" w:hAnsi="宋体" w:eastAsia="宋体" w:cs="宋体"/>
          <w:szCs w:val="24"/>
        </w:rPr>
        <w:t>ETC黑名单用户扣费数据过滤</w:t>
      </w:r>
      <w:r>
        <w:rPr>
          <w:rFonts w:hint="eastAsia" w:ascii="宋体" w:hAnsi="宋体" w:cs="宋体"/>
          <w:szCs w:val="24"/>
          <w:lang w:eastAsia="zh-CN"/>
        </w:rPr>
        <w:t>：</w:t>
      </w:r>
      <w:r>
        <w:rPr>
          <w:rFonts w:hint="eastAsia" w:ascii="宋体" w:hAnsi="宋体" w:eastAsia="宋体" w:cs="宋体"/>
          <w:kern w:val="2"/>
          <w:sz w:val="21"/>
          <w:szCs w:val="24"/>
          <w:lang w:val="en-US" w:eastAsia="zh-CN" w:bidi="ar-SA"/>
        </w:rPr>
        <w:t>提供通过数据分析识别ETC黑名单用户扣费事件功能，若上报数据存在此事件，则停止上报辽宁高速ETC拓展服务平台，并向上报此数据停车场（库）系统下发ETC黑名单用户扣费事件消息；否则，正常上报ETC交易数据到辽宁高速ETC拓展服务平台</w:t>
      </w:r>
      <w:r>
        <w:rPr>
          <w:rFonts w:hint="eastAsia" w:ascii="宋体" w:hAnsi="宋体" w:cs="宋体"/>
          <w:kern w:val="2"/>
          <w:sz w:val="21"/>
          <w:szCs w:val="24"/>
          <w:lang w:val="en-US" w:eastAsia="zh-CN" w:bidi="ar-SA"/>
        </w:rPr>
        <w:t>；</w:t>
      </w:r>
    </w:p>
    <w:p>
      <w:pPr>
        <w:numPr>
          <w:ilvl w:val="0"/>
          <w:numId w:val="14"/>
        </w:numPr>
        <w:spacing w:line="360" w:lineRule="auto"/>
        <w:ind w:left="210" w:leftChars="0" w:firstLine="420" w:firstLineChars="0"/>
        <w:rPr>
          <w:rFonts w:hint="eastAsia" w:ascii="宋体" w:hAnsi="宋体" w:eastAsia="宋体" w:cs="宋体"/>
          <w:kern w:val="2"/>
          <w:sz w:val="21"/>
          <w:szCs w:val="24"/>
          <w:lang w:val="en-US" w:eastAsia="zh-CN" w:bidi="ar-SA"/>
        </w:rPr>
      </w:pPr>
      <w:r>
        <w:rPr>
          <w:rFonts w:hint="eastAsia" w:ascii="宋体" w:hAnsi="宋体" w:eastAsia="宋体" w:cs="宋体"/>
          <w:szCs w:val="24"/>
        </w:rPr>
        <w:t>ETC用户卡网格号错误数据过滤</w:t>
      </w:r>
      <w:r>
        <w:rPr>
          <w:rFonts w:hint="eastAsia" w:ascii="宋体" w:hAnsi="宋体" w:cs="宋体"/>
          <w:szCs w:val="24"/>
          <w:lang w:eastAsia="zh-CN"/>
        </w:rPr>
        <w:t>：</w:t>
      </w:r>
      <w:r>
        <w:rPr>
          <w:rFonts w:hint="eastAsia" w:ascii="宋体" w:hAnsi="宋体" w:eastAsia="宋体" w:cs="宋体"/>
          <w:kern w:val="2"/>
          <w:sz w:val="21"/>
          <w:szCs w:val="24"/>
          <w:lang w:val="en-US" w:eastAsia="zh-CN" w:bidi="ar-SA"/>
        </w:rPr>
        <w:t>提供基于业务规则对ETC用户卡网格号检查功能，业务规则可通过系统配置或导入配置文件设置。若上报数据存在ETC用户卡网络号错误，则停止上报辽宁高速ETC拓展服务平台，并向上报此数据停车场（库）系统下发ETC用户卡网络号错误消息；否则，正常上报ETC交易数据到辽宁高速ETC拓展服务平台</w:t>
      </w:r>
      <w:r>
        <w:rPr>
          <w:rFonts w:hint="eastAsia" w:ascii="宋体" w:hAnsi="宋体" w:cs="宋体"/>
          <w:kern w:val="2"/>
          <w:sz w:val="21"/>
          <w:szCs w:val="24"/>
          <w:lang w:val="en-US" w:eastAsia="zh-CN" w:bidi="ar-SA"/>
        </w:rPr>
        <w:t>；</w:t>
      </w:r>
    </w:p>
    <w:p>
      <w:pPr>
        <w:numPr>
          <w:ilvl w:val="0"/>
          <w:numId w:val="14"/>
        </w:numPr>
        <w:spacing w:line="360" w:lineRule="auto"/>
        <w:ind w:left="210" w:leftChars="0" w:firstLine="420" w:firstLineChars="0"/>
        <w:rPr>
          <w:rFonts w:hint="eastAsia" w:ascii="宋体" w:hAnsi="宋体" w:eastAsia="宋体" w:cs="宋体"/>
          <w:kern w:val="2"/>
          <w:sz w:val="21"/>
          <w:szCs w:val="24"/>
          <w:lang w:val="en-US" w:eastAsia="zh-CN" w:bidi="ar-SA"/>
        </w:rPr>
      </w:pPr>
      <w:r>
        <w:rPr>
          <w:rFonts w:hint="eastAsia" w:ascii="宋体" w:hAnsi="宋体" w:eastAsia="宋体" w:cs="宋体"/>
          <w:szCs w:val="24"/>
        </w:rPr>
        <w:t>ETC停车异常大额扣费数据过滤</w:t>
      </w:r>
      <w:r>
        <w:rPr>
          <w:rFonts w:hint="eastAsia" w:ascii="宋体" w:hAnsi="宋体" w:cs="宋体"/>
          <w:szCs w:val="24"/>
          <w:lang w:eastAsia="zh-CN"/>
        </w:rPr>
        <w:t>：</w:t>
      </w:r>
      <w:r>
        <w:rPr>
          <w:rFonts w:hint="eastAsia" w:ascii="宋体" w:hAnsi="宋体" w:eastAsia="宋体" w:cs="宋体"/>
          <w:kern w:val="2"/>
          <w:sz w:val="21"/>
          <w:szCs w:val="24"/>
          <w:lang w:val="en-US" w:eastAsia="zh-CN" w:bidi="ar-SA"/>
        </w:rPr>
        <w:t>提供对ETC异常大额扣费事件识别功能，识别额度可通过系统参数配置自定义设置。若上报数据存在ETC停车异常大额扣费事件，则停止上报辽宁高速ETC拓展服务平台，并向上报此数据停车场（库）系统下发ETC停车异常大额扣费事件消息；否则，正常上报ETC交易数据到辽宁高速ETC拓展服务平台。</w:t>
      </w:r>
    </w:p>
    <w:p>
      <w:pPr>
        <w:pStyle w:val="30"/>
        <w:keepNext w:val="0"/>
        <w:keepLines w:val="0"/>
        <w:pageBreakBefore w:val="0"/>
        <w:widowControl/>
        <w:numPr>
          <w:ilvl w:val="0"/>
          <w:numId w:val="13"/>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Cs w:val="24"/>
        </w:rPr>
      </w:pPr>
      <w:r>
        <w:rPr>
          <w:rFonts w:hint="eastAsia" w:ascii="宋体" w:hAnsi="宋体" w:eastAsia="宋体" w:cs="宋体"/>
          <w:szCs w:val="24"/>
        </w:rPr>
        <w:t>ETC服务应答反馈</w:t>
      </w:r>
      <w:r>
        <w:rPr>
          <w:rFonts w:hint="eastAsia" w:hAnsi="宋体" w:cs="宋体"/>
          <w:szCs w:val="24"/>
          <w:lang w:eastAsia="zh-CN"/>
        </w:rPr>
        <w:t>：</w:t>
      </w:r>
    </w:p>
    <w:p>
      <w:pPr>
        <w:numPr>
          <w:ilvl w:val="0"/>
          <w:numId w:val="15"/>
        </w:numPr>
        <w:spacing w:line="360" w:lineRule="auto"/>
        <w:ind w:left="210" w:leftChars="0" w:firstLine="420" w:firstLineChars="0"/>
        <w:rPr>
          <w:rFonts w:hint="eastAsia" w:ascii="宋体" w:hAnsi="宋体" w:eastAsia="宋体" w:cs="宋体"/>
          <w:szCs w:val="24"/>
        </w:rPr>
      </w:pPr>
      <w:r>
        <w:rPr>
          <w:rFonts w:hint="eastAsia" w:ascii="宋体" w:hAnsi="宋体" w:eastAsia="宋体" w:cs="宋体"/>
          <w:szCs w:val="24"/>
        </w:rPr>
        <w:t>ETC支付失败反馈</w:t>
      </w:r>
      <w:r>
        <w:rPr>
          <w:rFonts w:hint="eastAsia" w:ascii="宋体" w:hAnsi="宋体" w:cs="宋体"/>
          <w:szCs w:val="24"/>
          <w:lang w:eastAsia="zh-CN"/>
        </w:rPr>
        <w:t>：</w:t>
      </w:r>
      <w:r>
        <w:rPr>
          <w:rFonts w:hint="eastAsia" w:ascii="宋体" w:hAnsi="宋体" w:eastAsia="宋体" w:cs="宋体"/>
          <w:kern w:val="2"/>
          <w:sz w:val="21"/>
          <w:szCs w:val="24"/>
          <w:lang w:val="en-US" w:eastAsia="zh-CN" w:bidi="ar-SA"/>
        </w:rPr>
        <w:t>提供下发辽宁高速ETC拓展服务平台反馈的ETC支付失败信息</w:t>
      </w:r>
      <w:r>
        <w:rPr>
          <w:rFonts w:hint="eastAsia" w:ascii="宋体" w:hAnsi="宋体" w:cs="宋体"/>
          <w:kern w:val="2"/>
          <w:sz w:val="21"/>
          <w:szCs w:val="24"/>
          <w:lang w:val="en-US" w:eastAsia="zh-CN" w:bidi="ar-SA"/>
        </w:rPr>
        <w:t>；</w:t>
      </w:r>
    </w:p>
    <w:p>
      <w:pPr>
        <w:numPr>
          <w:ilvl w:val="0"/>
          <w:numId w:val="15"/>
        </w:numPr>
        <w:spacing w:line="360" w:lineRule="auto"/>
        <w:ind w:left="210" w:leftChars="0" w:firstLine="420" w:firstLineChars="0"/>
        <w:rPr>
          <w:rFonts w:hint="eastAsia" w:ascii="宋体" w:hAnsi="宋体" w:eastAsia="宋体" w:cs="宋体"/>
          <w:szCs w:val="24"/>
        </w:rPr>
      </w:pPr>
      <w:r>
        <w:rPr>
          <w:rFonts w:hint="eastAsia" w:ascii="宋体" w:hAnsi="宋体" w:eastAsia="宋体" w:cs="宋体"/>
          <w:szCs w:val="24"/>
        </w:rPr>
        <w:t>ETC黑名单反馈</w:t>
      </w:r>
      <w:r>
        <w:rPr>
          <w:rFonts w:hint="eastAsia" w:ascii="宋体" w:hAnsi="宋体" w:cs="宋体"/>
          <w:szCs w:val="24"/>
          <w:lang w:eastAsia="zh-CN"/>
        </w:rPr>
        <w:t>：</w:t>
      </w:r>
      <w:r>
        <w:rPr>
          <w:rFonts w:hint="eastAsia" w:ascii="宋体" w:hAnsi="宋体" w:eastAsia="宋体" w:cs="宋体"/>
          <w:kern w:val="2"/>
          <w:sz w:val="21"/>
          <w:szCs w:val="24"/>
          <w:lang w:val="en-US" w:eastAsia="zh-CN" w:bidi="ar-SA"/>
        </w:rPr>
        <w:t>提供对停车场（库）获取ETC黑名单情况反馈，该数据来源于同步辽宁高速ETC拓展服务平台ETC黑名单数据，同步频率支持系统参数配置，默认为15分钟一次</w:t>
      </w:r>
      <w:r>
        <w:rPr>
          <w:rFonts w:hint="eastAsia" w:ascii="宋体" w:hAnsi="宋体" w:cs="宋体"/>
          <w:kern w:val="2"/>
          <w:sz w:val="21"/>
          <w:szCs w:val="24"/>
          <w:lang w:val="en-US" w:eastAsia="zh-CN" w:bidi="ar-SA"/>
        </w:rPr>
        <w:t>；</w:t>
      </w:r>
    </w:p>
    <w:p>
      <w:pPr>
        <w:numPr>
          <w:ilvl w:val="0"/>
          <w:numId w:val="15"/>
        </w:numPr>
        <w:spacing w:line="360" w:lineRule="auto"/>
        <w:ind w:left="210" w:leftChars="0" w:firstLine="420" w:firstLineChars="0"/>
        <w:rPr>
          <w:rFonts w:hint="eastAsia" w:ascii="宋体" w:hAnsi="宋体" w:eastAsia="宋体" w:cs="宋体"/>
          <w:szCs w:val="24"/>
        </w:rPr>
      </w:pPr>
      <w:r>
        <w:rPr>
          <w:rFonts w:hint="eastAsia" w:ascii="宋体" w:hAnsi="宋体" w:eastAsia="宋体" w:cs="宋体"/>
          <w:szCs w:val="24"/>
        </w:rPr>
        <w:t>ETC清分争议反馈</w:t>
      </w:r>
      <w:r>
        <w:rPr>
          <w:rFonts w:hint="eastAsia" w:ascii="宋体" w:hAnsi="宋体" w:cs="宋体"/>
          <w:szCs w:val="24"/>
          <w:lang w:eastAsia="zh-CN"/>
        </w:rPr>
        <w:t>：</w:t>
      </w:r>
      <w:r>
        <w:rPr>
          <w:rFonts w:hint="eastAsia" w:ascii="宋体" w:hAnsi="宋体" w:eastAsia="宋体" w:cs="宋体"/>
          <w:kern w:val="2"/>
          <w:sz w:val="21"/>
          <w:szCs w:val="24"/>
          <w:lang w:val="en-US" w:eastAsia="zh-CN" w:bidi="ar-SA"/>
        </w:rPr>
        <w:t>提供下发辽宁高速ETC拓展服务平台反馈的ETC清分失败消息</w:t>
      </w:r>
      <w:r>
        <w:rPr>
          <w:rFonts w:hint="eastAsia" w:ascii="宋体" w:hAnsi="宋体" w:cs="宋体"/>
          <w:kern w:val="2"/>
          <w:sz w:val="21"/>
          <w:szCs w:val="24"/>
          <w:lang w:val="en-US" w:eastAsia="zh-CN" w:bidi="ar-SA"/>
        </w:rPr>
        <w:t>；</w:t>
      </w:r>
    </w:p>
    <w:p>
      <w:pPr>
        <w:numPr>
          <w:ilvl w:val="0"/>
          <w:numId w:val="15"/>
        </w:numPr>
        <w:spacing w:line="360" w:lineRule="auto"/>
        <w:ind w:left="210" w:leftChars="0" w:firstLine="420" w:firstLineChars="0"/>
        <w:rPr>
          <w:rFonts w:hint="eastAsia" w:ascii="宋体" w:hAnsi="宋体" w:eastAsia="宋体" w:cs="宋体"/>
          <w:szCs w:val="24"/>
        </w:rPr>
      </w:pPr>
      <w:r>
        <w:rPr>
          <w:rFonts w:hint="eastAsia" w:ascii="宋体" w:hAnsi="宋体" w:eastAsia="宋体" w:cs="宋体"/>
          <w:szCs w:val="24"/>
        </w:rPr>
        <w:t>ETC对账问题反馈</w:t>
      </w:r>
      <w:r>
        <w:rPr>
          <w:rFonts w:hint="eastAsia" w:ascii="宋体" w:hAnsi="宋体" w:cs="宋体"/>
          <w:szCs w:val="24"/>
          <w:lang w:eastAsia="zh-CN"/>
        </w:rPr>
        <w:t>：</w:t>
      </w:r>
      <w:r>
        <w:rPr>
          <w:rFonts w:hint="eastAsia" w:ascii="宋体" w:hAnsi="宋体" w:eastAsia="宋体" w:cs="宋体"/>
          <w:szCs w:val="24"/>
        </w:rPr>
        <w:t>提供下发辽宁高速ETC拓展服务平台反馈的ETC对账问题反馈消息</w:t>
      </w:r>
      <w:r>
        <w:rPr>
          <w:rFonts w:hint="eastAsia" w:ascii="宋体" w:hAnsi="宋体" w:cs="宋体"/>
          <w:szCs w:val="24"/>
          <w:lang w:eastAsia="zh-CN"/>
        </w:rPr>
        <w:t>；</w:t>
      </w:r>
    </w:p>
    <w:p>
      <w:pPr>
        <w:numPr>
          <w:ilvl w:val="0"/>
          <w:numId w:val="15"/>
        </w:numPr>
        <w:spacing w:line="360" w:lineRule="auto"/>
        <w:ind w:left="210" w:leftChars="0" w:firstLine="420" w:firstLineChars="0"/>
        <w:rPr>
          <w:rFonts w:hint="eastAsia" w:ascii="宋体" w:hAnsi="宋体" w:eastAsia="宋体" w:cs="宋体"/>
          <w:kern w:val="2"/>
          <w:sz w:val="21"/>
          <w:szCs w:val="24"/>
          <w:lang w:val="en-US" w:eastAsia="zh-CN" w:bidi="ar-SA"/>
        </w:rPr>
      </w:pPr>
      <w:r>
        <w:rPr>
          <w:rFonts w:hint="eastAsia" w:ascii="宋体" w:hAnsi="宋体" w:eastAsia="宋体" w:cs="宋体"/>
          <w:szCs w:val="24"/>
        </w:rPr>
        <w:t>数据上传失败反馈</w:t>
      </w:r>
      <w:r>
        <w:rPr>
          <w:rFonts w:hint="eastAsia" w:ascii="宋体" w:hAnsi="宋体" w:cs="宋体"/>
          <w:szCs w:val="24"/>
          <w:lang w:eastAsia="zh-CN"/>
        </w:rPr>
        <w:t>：</w:t>
      </w:r>
      <w:r>
        <w:rPr>
          <w:rFonts w:hint="eastAsia" w:ascii="宋体" w:hAnsi="宋体" w:eastAsia="宋体" w:cs="宋体"/>
          <w:kern w:val="2"/>
          <w:sz w:val="21"/>
          <w:szCs w:val="24"/>
          <w:lang w:val="en-US" w:eastAsia="zh-CN" w:bidi="ar-SA"/>
        </w:rPr>
        <w:t>提供对上报辽宁高速ETC拓展服务平台反馈数据异常的消息接收，并对其进行分析，因网络或上传数据不全问题，平台负责再次重传或补传；因下级</w:t>
      </w:r>
      <w:r>
        <w:rPr>
          <w:rFonts w:hint="eastAsia" w:ascii="宋体" w:hAnsi="宋体" w:cs="宋体"/>
          <w:kern w:val="2"/>
          <w:sz w:val="21"/>
          <w:szCs w:val="24"/>
          <w:lang w:val="en-US" w:eastAsia="zh-CN" w:bidi="ar-SA"/>
        </w:rPr>
        <w:t>停车场（库）信息管理系统</w:t>
      </w:r>
      <w:r>
        <w:rPr>
          <w:rFonts w:hint="eastAsia" w:ascii="宋体" w:hAnsi="宋体" w:eastAsia="宋体" w:cs="宋体"/>
          <w:kern w:val="2"/>
          <w:sz w:val="21"/>
          <w:szCs w:val="24"/>
          <w:lang w:val="en-US" w:eastAsia="zh-CN" w:bidi="ar-SA"/>
        </w:rPr>
        <w:t>上报数据自身问题，平台负责将其问题转发至下级</w:t>
      </w:r>
      <w:r>
        <w:rPr>
          <w:rFonts w:hint="eastAsia" w:ascii="宋体" w:hAnsi="宋体" w:cs="宋体"/>
          <w:kern w:val="2"/>
          <w:sz w:val="21"/>
          <w:szCs w:val="24"/>
          <w:lang w:val="en-US" w:eastAsia="zh-CN" w:bidi="ar-SA"/>
        </w:rPr>
        <w:t>停车场（库）信息管理系统</w:t>
      </w:r>
      <w:r>
        <w:rPr>
          <w:rFonts w:hint="eastAsia" w:ascii="宋体" w:hAnsi="宋体" w:eastAsia="宋体" w:cs="宋体"/>
          <w:kern w:val="2"/>
          <w:sz w:val="21"/>
          <w:szCs w:val="24"/>
          <w:lang w:val="en-US" w:eastAsia="zh-CN" w:bidi="ar-SA"/>
        </w:rPr>
        <w:t>。</w:t>
      </w:r>
    </w:p>
    <w:p>
      <w:pPr>
        <w:pStyle w:val="33"/>
        <w:spacing w:before="156" w:after="156" w:line="360" w:lineRule="auto"/>
        <w:rPr>
          <w:rFonts w:hint="eastAsia"/>
          <w:szCs w:val="24"/>
        </w:rPr>
      </w:pPr>
      <w:bookmarkStart w:id="113" w:name="_Toc390"/>
      <w:r>
        <w:rPr>
          <w:rFonts w:hint="eastAsia"/>
          <w:szCs w:val="24"/>
        </w:rPr>
        <w:t>准入停车场（库）运营动态信息监控</w:t>
      </w:r>
      <w:bookmarkEnd w:id="113"/>
    </w:p>
    <w:p>
      <w:pPr>
        <w:pStyle w:val="30"/>
        <w:keepNext w:val="0"/>
        <w:keepLines w:val="0"/>
        <w:pageBreakBefore w:val="0"/>
        <w:widowControl/>
        <w:numPr>
          <w:ilvl w:val="0"/>
          <w:numId w:val="16"/>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停车交易监控</w:t>
      </w:r>
      <w:r>
        <w:rPr>
          <w:rFonts w:hint="eastAsia"/>
          <w:szCs w:val="24"/>
          <w:lang w:eastAsia="zh-CN"/>
        </w:rPr>
        <w:t>：</w:t>
      </w:r>
      <w:r>
        <w:rPr>
          <w:rFonts w:hint="eastAsia"/>
          <w:szCs w:val="24"/>
        </w:rPr>
        <w:t>应提供对接入该平台的停车场（库）交易信息实时呈现，可以按全局或局部的形式进行独立呈现。具体监控内容应包括如下内容：</w:t>
      </w:r>
    </w:p>
    <w:p>
      <w:pPr>
        <w:numPr>
          <w:ilvl w:val="0"/>
          <w:numId w:val="17"/>
        </w:numPr>
        <w:spacing w:line="360" w:lineRule="auto"/>
        <w:ind w:left="210" w:leftChars="0" w:firstLine="420" w:firstLineChars="0"/>
        <w:rPr>
          <w:rFonts w:hint="eastAsia"/>
          <w:szCs w:val="24"/>
        </w:rPr>
      </w:pPr>
      <w:r>
        <w:rPr>
          <w:rFonts w:hint="eastAsia"/>
          <w:szCs w:val="24"/>
        </w:rPr>
        <w:t>消费金额：实时更新当前今日消费总额以及系统累计消费总额</w:t>
      </w:r>
      <w:r>
        <w:rPr>
          <w:rFonts w:hint="eastAsia"/>
          <w:szCs w:val="24"/>
          <w:lang w:eastAsia="zh-CN"/>
        </w:rPr>
        <w:t>；</w:t>
      </w:r>
    </w:p>
    <w:p>
      <w:pPr>
        <w:numPr>
          <w:ilvl w:val="0"/>
          <w:numId w:val="17"/>
        </w:numPr>
        <w:spacing w:line="360" w:lineRule="auto"/>
        <w:ind w:left="210" w:leftChars="0" w:firstLine="420" w:firstLineChars="0"/>
        <w:rPr>
          <w:rFonts w:hint="eastAsia"/>
          <w:szCs w:val="24"/>
        </w:rPr>
      </w:pPr>
      <w:r>
        <w:rPr>
          <w:rFonts w:hint="eastAsia"/>
          <w:szCs w:val="24"/>
        </w:rPr>
        <w:t>交易次数：实时更新当前今日交易总次数以及系统累计交易次数</w:t>
      </w:r>
      <w:r>
        <w:rPr>
          <w:rFonts w:hint="eastAsia"/>
          <w:szCs w:val="24"/>
          <w:lang w:eastAsia="zh-CN"/>
        </w:rPr>
        <w:t>；</w:t>
      </w:r>
    </w:p>
    <w:p>
      <w:pPr>
        <w:numPr>
          <w:ilvl w:val="0"/>
          <w:numId w:val="17"/>
        </w:numPr>
        <w:spacing w:line="360" w:lineRule="auto"/>
        <w:ind w:left="210" w:leftChars="0" w:firstLine="420" w:firstLineChars="0"/>
        <w:rPr>
          <w:rFonts w:hint="eastAsia"/>
          <w:szCs w:val="24"/>
        </w:rPr>
      </w:pPr>
      <w:r>
        <w:rPr>
          <w:rFonts w:hint="eastAsia"/>
          <w:szCs w:val="24"/>
        </w:rPr>
        <w:t>充值金额：实时更新当前今日充值总金额以及系统累计充值总额</w:t>
      </w:r>
      <w:r>
        <w:rPr>
          <w:rFonts w:hint="eastAsia"/>
          <w:szCs w:val="24"/>
          <w:lang w:eastAsia="zh-CN"/>
        </w:rPr>
        <w:t>；</w:t>
      </w:r>
    </w:p>
    <w:p>
      <w:pPr>
        <w:numPr>
          <w:ilvl w:val="0"/>
          <w:numId w:val="17"/>
        </w:numPr>
        <w:spacing w:line="360" w:lineRule="auto"/>
        <w:ind w:left="210" w:leftChars="0" w:firstLine="420" w:firstLineChars="0"/>
        <w:rPr>
          <w:rFonts w:hint="eastAsia"/>
          <w:szCs w:val="24"/>
        </w:rPr>
      </w:pPr>
      <w:r>
        <w:rPr>
          <w:rFonts w:hint="eastAsia"/>
          <w:szCs w:val="24"/>
        </w:rPr>
        <w:t>收入比重：实时更新各区收入占总收入的比重</w:t>
      </w:r>
      <w:r>
        <w:rPr>
          <w:rFonts w:hint="eastAsia"/>
          <w:szCs w:val="24"/>
          <w:lang w:eastAsia="zh-CN"/>
        </w:rPr>
        <w:t>；</w:t>
      </w:r>
    </w:p>
    <w:p>
      <w:pPr>
        <w:numPr>
          <w:ilvl w:val="0"/>
          <w:numId w:val="17"/>
        </w:numPr>
        <w:spacing w:line="360" w:lineRule="auto"/>
        <w:ind w:left="210" w:leftChars="0" w:firstLine="420" w:firstLineChars="0"/>
        <w:rPr>
          <w:rFonts w:hint="eastAsia"/>
          <w:szCs w:val="24"/>
        </w:rPr>
      </w:pPr>
      <w:r>
        <w:rPr>
          <w:rFonts w:hint="eastAsia"/>
          <w:szCs w:val="24"/>
        </w:rPr>
        <w:t>收入统计：按日、周、月</w:t>
      </w:r>
      <w:r>
        <w:rPr>
          <w:rFonts w:hint="eastAsia"/>
          <w:szCs w:val="24"/>
          <w:lang w:val="en-US" w:eastAsia="zh-CN"/>
        </w:rPr>
        <w:t>和</w:t>
      </w:r>
      <w:r>
        <w:rPr>
          <w:rFonts w:hint="eastAsia"/>
          <w:szCs w:val="24"/>
        </w:rPr>
        <w:t>季多视角，统计收入变化情况</w:t>
      </w:r>
      <w:r>
        <w:rPr>
          <w:rFonts w:hint="eastAsia"/>
          <w:szCs w:val="24"/>
          <w:lang w:eastAsia="zh-CN"/>
        </w:rPr>
        <w:t>；</w:t>
      </w:r>
    </w:p>
    <w:p>
      <w:pPr>
        <w:numPr>
          <w:ilvl w:val="0"/>
          <w:numId w:val="17"/>
        </w:numPr>
        <w:spacing w:line="360" w:lineRule="auto"/>
        <w:ind w:left="210" w:leftChars="0" w:firstLine="420" w:firstLineChars="0"/>
        <w:rPr>
          <w:rFonts w:hint="eastAsia"/>
          <w:szCs w:val="24"/>
        </w:rPr>
      </w:pPr>
      <w:r>
        <w:rPr>
          <w:rFonts w:hint="eastAsia"/>
          <w:szCs w:val="24"/>
        </w:rPr>
        <w:t>用户数：实时更新当前今日新增用户数及累计系统用户数。</w:t>
      </w:r>
    </w:p>
    <w:p>
      <w:pPr>
        <w:pStyle w:val="30"/>
        <w:keepNext w:val="0"/>
        <w:keepLines w:val="0"/>
        <w:pageBreakBefore w:val="0"/>
        <w:widowControl/>
        <w:numPr>
          <w:ilvl w:val="0"/>
          <w:numId w:val="16"/>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停车资</w:t>
      </w:r>
      <w:r>
        <w:rPr>
          <w:rFonts w:hint="eastAsia" w:ascii="宋体" w:hAnsi="宋体" w:eastAsia="宋体" w:cs="宋体"/>
          <w:kern w:val="2"/>
          <w:sz w:val="21"/>
          <w:szCs w:val="24"/>
          <w:lang w:val="en-US" w:eastAsia="zh-CN" w:bidi="ar-SA"/>
        </w:rPr>
        <w:t>源监控</w:t>
      </w:r>
      <w:r>
        <w:rPr>
          <w:rFonts w:hint="eastAsia" w:hAnsi="宋体" w:cs="宋体"/>
          <w:kern w:val="2"/>
          <w:sz w:val="21"/>
          <w:szCs w:val="24"/>
          <w:lang w:val="en-US" w:eastAsia="zh-CN" w:bidi="ar-SA"/>
        </w:rPr>
        <w:t>：</w:t>
      </w:r>
    </w:p>
    <w:p>
      <w:pPr>
        <w:numPr>
          <w:ilvl w:val="0"/>
          <w:numId w:val="18"/>
        </w:numPr>
        <w:spacing w:line="360" w:lineRule="auto"/>
        <w:ind w:left="210" w:leftChars="0" w:firstLine="420" w:firstLineChars="0"/>
        <w:rPr>
          <w:rFonts w:hint="eastAsia"/>
          <w:szCs w:val="24"/>
        </w:rPr>
      </w:pPr>
      <w:r>
        <w:rPr>
          <w:rFonts w:hint="eastAsia"/>
          <w:szCs w:val="24"/>
        </w:rPr>
        <w:t>泊位空闲监控：实时更新当前车辆泊位、充电桩泊位</w:t>
      </w:r>
      <w:r>
        <w:rPr>
          <w:rFonts w:hint="eastAsia"/>
          <w:szCs w:val="24"/>
          <w:lang w:val="en-US" w:eastAsia="zh-CN"/>
        </w:rPr>
        <w:t>及</w:t>
      </w:r>
      <w:r>
        <w:rPr>
          <w:rFonts w:hint="eastAsia"/>
          <w:szCs w:val="24"/>
        </w:rPr>
        <w:t>特殊车辆等泊位已用数量与空余数量</w:t>
      </w:r>
      <w:r>
        <w:rPr>
          <w:rFonts w:hint="eastAsia"/>
          <w:szCs w:val="24"/>
          <w:lang w:eastAsia="zh-CN"/>
        </w:rPr>
        <w:t>；</w:t>
      </w:r>
    </w:p>
    <w:p>
      <w:pPr>
        <w:numPr>
          <w:ilvl w:val="0"/>
          <w:numId w:val="18"/>
        </w:numPr>
        <w:spacing w:line="360" w:lineRule="auto"/>
        <w:ind w:left="210" w:leftChars="0" w:firstLine="420" w:firstLineChars="0"/>
        <w:rPr>
          <w:rFonts w:hint="eastAsia"/>
          <w:szCs w:val="24"/>
        </w:rPr>
      </w:pPr>
      <w:r>
        <w:rPr>
          <w:rFonts w:hint="eastAsia"/>
          <w:szCs w:val="24"/>
        </w:rPr>
        <w:t>空位变化监控：按24小时、月、季度</w:t>
      </w:r>
      <w:r>
        <w:rPr>
          <w:rFonts w:hint="eastAsia"/>
          <w:szCs w:val="24"/>
          <w:lang w:val="en-US" w:eastAsia="zh-CN"/>
        </w:rPr>
        <w:t>和</w:t>
      </w:r>
      <w:r>
        <w:rPr>
          <w:rFonts w:hint="eastAsia"/>
          <w:szCs w:val="24"/>
        </w:rPr>
        <w:t>季节视角识别空位变化情况</w:t>
      </w:r>
      <w:r>
        <w:rPr>
          <w:rFonts w:hint="eastAsia"/>
          <w:szCs w:val="24"/>
          <w:lang w:eastAsia="zh-CN"/>
        </w:rPr>
        <w:t>；</w:t>
      </w:r>
    </w:p>
    <w:p>
      <w:pPr>
        <w:numPr>
          <w:ilvl w:val="0"/>
          <w:numId w:val="18"/>
        </w:numPr>
        <w:spacing w:line="360" w:lineRule="auto"/>
        <w:ind w:left="210" w:leftChars="0" w:firstLine="420" w:firstLineChars="0"/>
        <w:rPr>
          <w:rFonts w:hint="eastAsia"/>
          <w:szCs w:val="24"/>
        </w:rPr>
      </w:pPr>
      <w:r>
        <w:rPr>
          <w:rFonts w:hint="eastAsia"/>
          <w:szCs w:val="24"/>
        </w:rPr>
        <w:t>停车场利用率监控：统计各停车场实时车位利用率情况</w:t>
      </w:r>
      <w:r>
        <w:rPr>
          <w:rFonts w:hint="eastAsia"/>
          <w:szCs w:val="24"/>
          <w:lang w:eastAsia="zh-CN"/>
        </w:rPr>
        <w:t>；</w:t>
      </w:r>
    </w:p>
    <w:p>
      <w:pPr>
        <w:numPr>
          <w:ilvl w:val="0"/>
          <w:numId w:val="18"/>
        </w:numPr>
        <w:spacing w:line="360" w:lineRule="auto"/>
        <w:ind w:left="210" w:leftChars="0" w:firstLine="420" w:firstLineChars="0"/>
        <w:rPr>
          <w:rFonts w:hint="eastAsia"/>
          <w:szCs w:val="24"/>
        </w:rPr>
      </w:pPr>
      <w:r>
        <w:rPr>
          <w:rFonts w:hint="eastAsia"/>
          <w:szCs w:val="24"/>
        </w:rPr>
        <w:t>停车场泊位饱和度监控：实时更新停车场泊包含情况</w:t>
      </w:r>
      <w:r>
        <w:rPr>
          <w:rFonts w:hint="eastAsia"/>
          <w:szCs w:val="24"/>
          <w:lang w:eastAsia="zh-CN"/>
        </w:rPr>
        <w:t>；</w:t>
      </w:r>
    </w:p>
    <w:p>
      <w:pPr>
        <w:numPr>
          <w:ilvl w:val="0"/>
          <w:numId w:val="18"/>
        </w:numPr>
        <w:spacing w:line="360" w:lineRule="auto"/>
        <w:ind w:left="210" w:leftChars="0" w:firstLine="420" w:firstLineChars="0"/>
        <w:rPr>
          <w:rFonts w:hint="eastAsia"/>
          <w:szCs w:val="24"/>
        </w:rPr>
      </w:pPr>
      <w:r>
        <w:rPr>
          <w:rFonts w:hint="eastAsia"/>
          <w:szCs w:val="24"/>
        </w:rPr>
        <w:t>停车场地域分布监控：实时更新当前接入该平台停车场地域分布情况。</w:t>
      </w:r>
    </w:p>
    <w:p>
      <w:pPr>
        <w:pStyle w:val="30"/>
        <w:keepNext w:val="0"/>
        <w:keepLines w:val="0"/>
        <w:pageBreakBefore w:val="0"/>
        <w:widowControl/>
        <w:numPr>
          <w:ilvl w:val="0"/>
          <w:numId w:val="16"/>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典型数据统计报表</w:t>
      </w:r>
      <w:r>
        <w:rPr>
          <w:rFonts w:hint="eastAsia"/>
          <w:szCs w:val="24"/>
          <w:lang w:eastAsia="zh-CN"/>
        </w:rPr>
        <w:t>；</w:t>
      </w:r>
    </w:p>
    <w:p>
      <w:pPr>
        <w:numPr>
          <w:ilvl w:val="0"/>
          <w:numId w:val="0"/>
        </w:numPr>
        <w:spacing w:line="360" w:lineRule="auto"/>
        <w:ind w:firstLine="840" w:firstLineChars="400"/>
        <w:rPr>
          <w:rFonts w:hint="eastAsia" w:ascii="宋体" w:hAnsi="宋体" w:eastAsia="宋体" w:cs="宋体"/>
          <w:szCs w:val="24"/>
        </w:rPr>
      </w:pPr>
      <w:r>
        <w:rPr>
          <w:rFonts w:hint="eastAsia" w:ascii="宋体" w:hAnsi="宋体" w:eastAsia="宋体" w:cs="宋体"/>
          <w:szCs w:val="24"/>
        </w:rPr>
        <w:t>应能提供停车场（库）运营与运行业务统计报表，包括但不限于如</w:t>
      </w:r>
      <w:r>
        <w:rPr>
          <w:rFonts w:hint="eastAsia" w:ascii="宋体" w:hAnsi="宋体" w:cs="宋体"/>
          <w:szCs w:val="24"/>
          <w:lang w:eastAsia="zh-CN"/>
        </w:rPr>
        <w:t>表</w:t>
      </w:r>
      <w:r>
        <w:rPr>
          <w:rFonts w:hint="eastAsia" w:ascii="宋体" w:hAnsi="宋体" w:eastAsia="宋体" w:cs="宋体"/>
          <w:szCs w:val="24"/>
        </w:rPr>
        <w:t>8所示：</w:t>
      </w:r>
    </w:p>
    <w:p>
      <w:pPr>
        <w:numPr>
          <w:ilvl w:val="0"/>
          <w:numId w:val="0"/>
        </w:numPr>
        <w:spacing w:line="360" w:lineRule="auto"/>
        <w:ind w:left="840" w:firstLine="0"/>
        <w:jc w:val="center"/>
        <w:rPr>
          <w:rFonts w:hint="eastAsia" w:ascii="黑体" w:hAnsi="黑体" w:eastAsia="黑体" w:cs="黑体"/>
          <w:szCs w:val="24"/>
        </w:rPr>
      </w:pPr>
      <w:r>
        <w:rPr>
          <w:rFonts w:hint="eastAsia" w:ascii="黑体" w:hAnsi="黑体" w:eastAsia="黑体" w:cs="黑体"/>
          <w:szCs w:val="24"/>
        </w:rPr>
        <w:t>表8</w:t>
      </w:r>
      <w:r>
        <w:rPr>
          <w:rFonts w:hint="eastAsia" w:ascii="黑体" w:hAnsi="黑体" w:eastAsia="黑体" w:cs="黑体"/>
          <w:szCs w:val="24"/>
          <w:lang w:val="en-US" w:eastAsia="zh-CN"/>
        </w:rPr>
        <w:t>　</w:t>
      </w:r>
      <w:r>
        <w:rPr>
          <w:rFonts w:hint="eastAsia" w:ascii="黑体" w:hAnsi="黑体" w:eastAsia="黑体" w:cs="黑体"/>
          <w:szCs w:val="24"/>
        </w:rPr>
        <w:t>典型数据统计报表</w:t>
      </w:r>
    </w:p>
    <w:tbl>
      <w:tblPr>
        <w:tblStyle w:val="9"/>
        <w:tblW w:w="7340" w:type="dxa"/>
        <w:jc w:val="center"/>
        <w:tblLayout w:type="autofit"/>
        <w:tblCellMar>
          <w:top w:w="0" w:type="dxa"/>
          <w:left w:w="108" w:type="dxa"/>
          <w:bottom w:w="0" w:type="dxa"/>
          <w:right w:w="108" w:type="dxa"/>
        </w:tblCellMar>
      </w:tblPr>
      <w:tblGrid>
        <w:gridCol w:w="1080"/>
        <w:gridCol w:w="6260"/>
      </w:tblGrid>
      <w:tr>
        <w:tblPrEx>
          <w:tblCellMar>
            <w:top w:w="0" w:type="dxa"/>
            <w:left w:w="108" w:type="dxa"/>
            <w:bottom w:w="0" w:type="dxa"/>
            <w:right w:w="108" w:type="dxa"/>
          </w:tblCellMar>
        </w:tblPrEx>
        <w:trPr>
          <w:trHeight w:val="680" w:hRule="exact"/>
          <w:jc w:val="center"/>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8"/>
              <w:spacing w:before="0" w:after="120" w:line="360" w:lineRule="auto"/>
              <w:jc w:val="center"/>
              <w:rPr>
                <w:rStyle w:val="12"/>
                <w:rFonts w:hint="eastAsia" w:ascii="宋体" w:hAnsi="宋体" w:eastAsia="宋体" w:cs="宋体"/>
                <w:sz w:val="18"/>
                <w:szCs w:val="18"/>
              </w:rPr>
            </w:pPr>
            <w:r>
              <w:rPr>
                <w:rStyle w:val="12"/>
                <w:rFonts w:hint="eastAsia" w:ascii="宋体" w:hAnsi="宋体" w:eastAsia="宋体" w:cs="宋体"/>
                <w:sz w:val="18"/>
                <w:szCs w:val="18"/>
              </w:rPr>
              <w:t>类别</w:t>
            </w:r>
          </w:p>
        </w:tc>
        <w:tc>
          <w:tcPr>
            <w:tcW w:w="6260" w:type="dxa"/>
            <w:tcBorders>
              <w:top w:val="single" w:color="auto" w:sz="4" w:space="0"/>
              <w:left w:val="nil"/>
              <w:bottom w:val="single" w:color="auto" w:sz="4" w:space="0"/>
              <w:right w:val="single" w:color="auto" w:sz="4" w:space="0"/>
            </w:tcBorders>
            <w:shd w:val="clear" w:color="auto" w:fill="auto"/>
            <w:noWrap/>
            <w:vAlign w:val="center"/>
          </w:tcPr>
          <w:p>
            <w:pPr>
              <w:pStyle w:val="8"/>
              <w:spacing w:before="0" w:after="120" w:line="360" w:lineRule="auto"/>
              <w:jc w:val="center"/>
              <w:rPr>
                <w:rStyle w:val="12"/>
                <w:rFonts w:hint="eastAsia" w:ascii="宋体" w:hAnsi="宋体" w:eastAsia="宋体" w:cs="宋体"/>
                <w:sz w:val="18"/>
                <w:szCs w:val="18"/>
              </w:rPr>
            </w:pPr>
            <w:r>
              <w:rPr>
                <w:rStyle w:val="12"/>
                <w:rFonts w:hint="eastAsia" w:ascii="宋体" w:hAnsi="宋体" w:eastAsia="宋体" w:cs="宋体"/>
                <w:sz w:val="18"/>
                <w:szCs w:val="18"/>
              </w:rPr>
              <w:t>报表名称</w:t>
            </w:r>
          </w:p>
        </w:tc>
      </w:tr>
      <w:tr>
        <w:tblPrEx>
          <w:tblCellMar>
            <w:top w:w="0" w:type="dxa"/>
            <w:left w:w="108" w:type="dxa"/>
            <w:bottom w:w="0" w:type="dxa"/>
            <w:right w:w="108" w:type="dxa"/>
          </w:tblCellMar>
        </w:tblPrEx>
        <w:trPr>
          <w:trHeight w:val="680" w:hRule="exact"/>
          <w:jc w:val="center"/>
        </w:trPr>
        <w:tc>
          <w:tcPr>
            <w:tcW w:w="1080" w:type="dxa"/>
            <w:vMerge w:val="restart"/>
            <w:tcBorders>
              <w:top w:val="nil"/>
              <w:left w:val="single" w:color="auto" w:sz="4" w:space="0"/>
              <w:bottom w:val="single" w:color="000000" w:sz="4" w:space="0"/>
              <w:right w:val="single" w:color="auto" w:sz="4" w:space="0"/>
            </w:tcBorders>
            <w:shd w:val="clear" w:color="auto" w:fill="auto"/>
            <w:noWrap/>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全区</w:t>
            </w:r>
          </w:p>
        </w:tc>
        <w:tc>
          <w:tcPr>
            <w:tcW w:w="6260" w:type="dxa"/>
            <w:tcBorders>
              <w:top w:val="nil"/>
              <w:left w:val="nil"/>
              <w:bottom w:val="single" w:color="auto" w:sz="4" w:space="0"/>
              <w:right w:val="single" w:color="auto" w:sz="4" w:space="0"/>
            </w:tcBorders>
            <w:shd w:val="clear" w:color="auto" w:fill="auto"/>
            <w:noWrap/>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停车场日总收益/月总收益/年总收益统计报表</w:t>
            </w:r>
          </w:p>
        </w:tc>
      </w:tr>
      <w:tr>
        <w:tblPrEx>
          <w:tblCellMar>
            <w:top w:w="0" w:type="dxa"/>
            <w:left w:w="108" w:type="dxa"/>
            <w:bottom w:w="0" w:type="dxa"/>
            <w:right w:w="108" w:type="dxa"/>
          </w:tblCellMar>
        </w:tblPrEx>
        <w:trPr>
          <w:trHeight w:val="680" w:hRule="exact"/>
          <w:jc w:val="center"/>
        </w:trPr>
        <w:tc>
          <w:tcPr>
            <w:tcW w:w="1080" w:type="dxa"/>
            <w:vMerge w:val="continue"/>
            <w:tcBorders>
              <w:top w:val="nil"/>
              <w:left w:val="single" w:color="auto" w:sz="4" w:space="0"/>
              <w:bottom w:val="single" w:color="000000" w:sz="4" w:space="0"/>
              <w:right w:val="single" w:color="auto" w:sz="4" w:space="0"/>
            </w:tcBorders>
            <w:shd w:val="clear" w:color="auto" w:fill="auto"/>
            <w:noWrap w:val="0"/>
            <w:vAlign w:val="center"/>
          </w:tcPr>
          <w:p>
            <w:pPr>
              <w:pStyle w:val="8"/>
              <w:spacing w:before="0" w:after="120" w:line="360" w:lineRule="auto"/>
              <w:rPr>
                <w:rStyle w:val="12"/>
                <w:rFonts w:hint="eastAsia" w:ascii="宋体" w:hAnsi="宋体" w:eastAsia="宋体" w:cs="宋体"/>
                <w:sz w:val="18"/>
                <w:szCs w:val="18"/>
              </w:rPr>
            </w:pPr>
          </w:p>
        </w:tc>
        <w:tc>
          <w:tcPr>
            <w:tcW w:w="6260" w:type="dxa"/>
            <w:tcBorders>
              <w:top w:val="nil"/>
              <w:left w:val="nil"/>
              <w:bottom w:val="single" w:color="auto" w:sz="4" w:space="0"/>
              <w:right w:val="single" w:color="auto" w:sz="4" w:space="0"/>
            </w:tcBorders>
            <w:shd w:val="clear" w:color="auto" w:fill="auto"/>
            <w:noWrap/>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停车场日均收益/月均受益/年均收益统计报表</w:t>
            </w:r>
          </w:p>
        </w:tc>
      </w:tr>
      <w:tr>
        <w:tblPrEx>
          <w:tblCellMar>
            <w:top w:w="0" w:type="dxa"/>
            <w:left w:w="108" w:type="dxa"/>
            <w:bottom w:w="0" w:type="dxa"/>
            <w:right w:w="108" w:type="dxa"/>
          </w:tblCellMar>
        </w:tblPrEx>
        <w:trPr>
          <w:trHeight w:val="680" w:hRule="exact"/>
          <w:jc w:val="center"/>
        </w:trPr>
        <w:tc>
          <w:tcPr>
            <w:tcW w:w="1080" w:type="dxa"/>
            <w:vMerge w:val="continue"/>
            <w:tcBorders>
              <w:top w:val="nil"/>
              <w:left w:val="single" w:color="auto" w:sz="4" w:space="0"/>
              <w:bottom w:val="single" w:color="000000" w:sz="4" w:space="0"/>
              <w:right w:val="single" w:color="auto" w:sz="4" w:space="0"/>
            </w:tcBorders>
            <w:shd w:val="clear" w:color="auto" w:fill="auto"/>
            <w:noWrap w:val="0"/>
            <w:vAlign w:val="center"/>
          </w:tcPr>
          <w:p>
            <w:pPr>
              <w:pStyle w:val="8"/>
              <w:spacing w:before="0" w:after="120" w:line="360" w:lineRule="auto"/>
              <w:rPr>
                <w:rStyle w:val="12"/>
                <w:rFonts w:hint="eastAsia" w:ascii="宋体" w:hAnsi="宋体" w:eastAsia="宋体" w:cs="宋体"/>
                <w:sz w:val="18"/>
                <w:szCs w:val="18"/>
              </w:rPr>
            </w:pPr>
          </w:p>
        </w:tc>
        <w:tc>
          <w:tcPr>
            <w:tcW w:w="6260" w:type="dxa"/>
            <w:tcBorders>
              <w:top w:val="nil"/>
              <w:left w:val="nil"/>
              <w:bottom w:val="single" w:color="auto" w:sz="4" w:space="0"/>
              <w:right w:val="single" w:color="auto" w:sz="4" w:space="0"/>
            </w:tcBorders>
            <w:shd w:val="clear" w:color="auto" w:fill="auto"/>
            <w:noWrap/>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停车场每车位日均收益/月均收益/年均收益统计报表</w:t>
            </w:r>
          </w:p>
        </w:tc>
      </w:tr>
      <w:tr>
        <w:tblPrEx>
          <w:tblCellMar>
            <w:top w:w="0" w:type="dxa"/>
            <w:left w:w="108" w:type="dxa"/>
            <w:bottom w:w="0" w:type="dxa"/>
            <w:right w:w="108" w:type="dxa"/>
          </w:tblCellMar>
        </w:tblPrEx>
        <w:trPr>
          <w:trHeight w:val="680" w:hRule="exact"/>
          <w:jc w:val="center"/>
        </w:trPr>
        <w:tc>
          <w:tcPr>
            <w:tcW w:w="1080" w:type="dxa"/>
            <w:vMerge w:val="continue"/>
            <w:tcBorders>
              <w:top w:val="nil"/>
              <w:left w:val="single" w:color="auto" w:sz="4" w:space="0"/>
              <w:bottom w:val="single" w:color="000000" w:sz="4" w:space="0"/>
              <w:right w:val="single" w:color="auto" w:sz="4" w:space="0"/>
            </w:tcBorders>
            <w:shd w:val="clear" w:color="auto" w:fill="auto"/>
            <w:noWrap w:val="0"/>
            <w:vAlign w:val="center"/>
          </w:tcPr>
          <w:p>
            <w:pPr>
              <w:pStyle w:val="8"/>
              <w:spacing w:before="0" w:after="120" w:line="360" w:lineRule="auto"/>
              <w:rPr>
                <w:rStyle w:val="12"/>
                <w:rFonts w:hint="eastAsia" w:ascii="宋体" w:hAnsi="宋体" w:eastAsia="宋体" w:cs="宋体"/>
                <w:sz w:val="18"/>
                <w:szCs w:val="18"/>
              </w:rPr>
            </w:pPr>
          </w:p>
        </w:tc>
        <w:tc>
          <w:tcPr>
            <w:tcW w:w="6260" w:type="dxa"/>
            <w:tcBorders>
              <w:top w:val="nil"/>
              <w:left w:val="nil"/>
              <w:bottom w:val="single" w:color="auto" w:sz="4" w:space="0"/>
              <w:right w:val="single" w:color="auto" w:sz="4" w:space="0"/>
            </w:tcBorders>
            <w:shd w:val="clear" w:color="auto" w:fill="auto"/>
            <w:noWrap/>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停车场月度/年度总收益增长统计报表</w:t>
            </w:r>
          </w:p>
        </w:tc>
      </w:tr>
      <w:tr>
        <w:tblPrEx>
          <w:tblCellMar>
            <w:top w:w="0" w:type="dxa"/>
            <w:left w:w="108" w:type="dxa"/>
            <w:bottom w:w="0" w:type="dxa"/>
            <w:right w:w="108" w:type="dxa"/>
          </w:tblCellMar>
        </w:tblPrEx>
        <w:trPr>
          <w:trHeight w:val="680" w:hRule="exact"/>
          <w:jc w:val="center"/>
        </w:trPr>
        <w:tc>
          <w:tcPr>
            <w:tcW w:w="1080" w:type="dxa"/>
            <w:vMerge w:val="continue"/>
            <w:tcBorders>
              <w:top w:val="nil"/>
              <w:left w:val="single" w:color="auto" w:sz="4" w:space="0"/>
              <w:bottom w:val="single" w:color="000000" w:sz="4" w:space="0"/>
              <w:right w:val="single" w:color="auto" w:sz="4" w:space="0"/>
            </w:tcBorders>
            <w:shd w:val="clear" w:color="auto" w:fill="auto"/>
            <w:noWrap w:val="0"/>
            <w:vAlign w:val="center"/>
          </w:tcPr>
          <w:p>
            <w:pPr>
              <w:pStyle w:val="8"/>
              <w:spacing w:before="0" w:after="120" w:line="360" w:lineRule="auto"/>
              <w:rPr>
                <w:rStyle w:val="12"/>
                <w:rFonts w:hint="eastAsia" w:ascii="宋体" w:hAnsi="宋体" w:eastAsia="宋体" w:cs="宋体"/>
                <w:sz w:val="18"/>
                <w:szCs w:val="18"/>
              </w:rPr>
            </w:pPr>
          </w:p>
        </w:tc>
        <w:tc>
          <w:tcPr>
            <w:tcW w:w="6260" w:type="dxa"/>
            <w:tcBorders>
              <w:top w:val="nil"/>
              <w:left w:val="nil"/>
              <w:bottom w:val="single" w:color="auto" w:sz="4" w:space="0"/>
              <w:right w:val="single" w:color="auto" w:sz="4" w:space="0"/>
            </w:tcBorders>
            <w:shd w:val="clear" w:color="auto" w:fill="auto"/>
            <w:noWrap/>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停车场日总收益/月总收益/年总收益top10统计报表</w:t>
            </w:r>
          </w:p>
        </w:tc>
      </w:tr>
      <w:tr>
        <w:tblPrEx>
          <w:tblCellMar>
            <w:top w:w="0" w:type="dxa"/>
            <w:left w:w="108" w:type="dxa"/>
            <w:bottom w:w="0" w:type="dxa"/>
            <w:right w:w="108" w:type="dxa"/>
          </w:tblCellMar>
        </w:tblPrEx>
        <w:trPr>
          <w:trHeight w:val="680" w:hRule="exact"/>
          <w:jc w:val="center"/>
        </w:trPr>
        <w:tc>
          <w:tcPr>
            <w:tcW w:w="1080" w:type="dxa"/>
            <w:vMerge w:val="continue"/>
            <w:tcBorders>
              <w:top w:val="nil"/>
              <w:left w:val="single" w:color="auto" w:sz="4" w:space="0"/>
              <w:bottom w:val="single" w:color="000000" w:sz="4" w:space="0"/>
              <w:right w:val="single" w:color="auto" w:sz="4" w:space="0"/>
            </w:tcBorders>
            <w:shd w:val="clear" w:color="auto" w:fill="auto"/>
            <w:noWrap w:val="0"/>
            <w:vAlign w:val="center"/>
          </w:tcPr>
          <w:p>
            <w:pPr>
              <w:pStyle w:val="8"/>
              <w:spacing w:before="0" w:after="120" w:line="360" w:lineRule="auto"/>
              <w:rPr>
                <w:rStyle w:val="12"/>
                <w:rFonts w:hint="eastAsia" w:ascii="宋体" w:hAnsi="宋体" w:eastAsia="宋体" w:cs="宋体"/>
                <w:sz w:val="18"/>
                <w:szCs w:val="18"/>
              </w:rPr>
            </w:pPr>
          </w:p>
        </w:tc>
        <w:tc>
          <w:tcPr>
            <w:tcW w:w="6260" w:type="dxa"/>
            <w:tcBorders>
              <w:top w:val="nil"/>
              <w:left w:val="nil"/>
              <w:bottom w:val="single" w:color="auto" w:sz="4" w:space="0"/>
              <w:right w:val="single" w:color="auto" w:sz="4" w:space="0"/>
            </w:tcBorders>
            <w:shd w:val="clear" w:color="auto" w:fill="auto"/>
            <w:noWrap/>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停车场月度/年度总收益最快增长top10统计报表</w:t>
            </w:r>
          </w:p>
        </w:tc>
      </w:tr>
      <w:tr>
        <w:tblPrEx>
          <w:tblCellMar>
            <w:top w:w="0" w:type="dxa"/>
            <w:left w:w="108" w:type="dxa"/>
            <w:bottom w:w="0" w:type="dxa"/>
            <w:right w:w="108" w:type="dxa"/>
          </w:tblCellMar>
        </w:tblPrEx>
        <w:trPr>
          <w:trHeight w:val="680" w:hRule="exact"/>
          <w:jc w:val="center"/>
        </w:trPr>
        <w:tc>
          <w:tcPr>
            <w:tcW w:w="1080" w:type="dxa"/>
            <w:vMerge w:val="restart"/>
            <w:tcBorders>
              <w:top w:val="nil"/>
              <w:left w:val="single" w:color="auto" w:sz="4" w:space="0"/>
              <w:bottom w:val="single" w:color="000000" w:sz="4" w:space="0"/>
              <w:right w:val="single" w:color="auto" w:sz="4" w:space="0"/>
            </w:tcBorders>
            <w:shd w:val="clear" w:color="auto" w:fill="auto"/>
            <w:noWrap/>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单场</w:t>
            </w:r>
          </w:p>
        </w:tc>
        <w:tc>
          <w:tcPr>
            <w:tcW w:w="6260" w:type="dxa"/>
            <w:tcBorders>
              <w:top w:val="nil"/>
              <w:left w:val="nil"/>
              <w:bottom w:val="single" w:color="auto" w:sz="4" w:space="0"/>
              <w:right w:val="single" w:color="auto" w:sz="4" w:space="0"/>
            </w:tcBorders>
            <w:shd w:val="clear" w:color="auto" w:fill="auto"/>
            <w:noWrap/>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停车场日总收益/月总收益/年总收益统计报表</w:t>
            </w:r>
          </w:p>
        </w:tc>
      </w:tr>
      <w:tr>
        <w:tblPrEx>
          <w:tblCellMar>
            <w:top w:w="0" w:type="dxa"/>
            <w:left w:w="108" w:type="dxa"/>
            <w:bottom w:w="0" w:type="dxa"/>
            <w:right w:w="108" w:type="dxa"/>
          </w:tblCellMar>
        </w:tblPrEx>
        <w:trPr>
          <w:trHeight w:val="680" w:hRule="exact"/>
          <w:jc w:val="center"/>
        </w:trPr>
        <w:tc>
          <w:tcPr>
            <w:tcW w:w="1080" w:type="dxa"/>
            <w:vMerge w:val="continue"/>
            <w:tcBorders>
              <w:top w:val="nil"/>
              <w:left w:val="single" w:color="auto" w:sz="4" w:space="0"/>
              <w:bottom w:val="single" w:color="000000" w:sz="4" w:space="0"/>
              <w:right w:val="single" w:color="auto" w:sz="4" w:space="0"/>
            </w:tcBorders>
            <w:shd w:val="clear" w:color="auto" w:fill="auto"/>
            <w:noWrap w:val="0"/>
            <w:vAlign w:val="center"/>
          </w:tcPr>
          <w:p>
            <w:pPr>
              <w:pStyle w:val="8"/>
              <w:spacing w:before="0" w:after="120" w:line="360" w:lineRule="auto"/>
              <w:rPr>
                <w:rStyle w:val="12"/>
                <w:rFonts w:hint="eastAsia" w:ascii="宋体" w:hAnsi="宋体" w:eastAsia="宋体" w:cs="宋体"/>
                <w:sz w:val="18"/>
                <w:szCs w:val="18"/>
              </w:rPr>
            </w:pPr>
          </w:p>
        </w:tc>
        <w:tc>
          <w:tcPr>
            <w:tcW w:w="6260" w:type="dxa"/>
            <w:tcBorders>
              <w:top w:val="nil"/>
              <w:left w:val="nil"/>
              <w:bottom w:val="single" w:color="auto" w:sz="4" w:space="0"/>
              <w:right w:val="single" w:color="auto" w:sz="4" w:space="0"/>
            </w:tcBorders>
            <w:shd w:val="clear" w:color="auto" w:fill="auto"/>
            <w:noWrap/>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停车场日均收益/月均受益/年均收益统计报表</w:t>
            </w:r>
          </w:p>
        </w:tc>
      </w:tr>
      <w:tr>
        <w:trPr>
          <w:trHeight w:val="680" w:hRule="exact"/>
          <w:jc w:val="center"/>
        </w:trPr>
        <w:tc>
          <w:tcPr>
            <w:tcW w:w="1080" w:type="dxa"/>
            <w:vMerge w:val="continue"/>
            <w:tcBorders>
              <w:top w:val="nil"/>
              <w:left w:val="single" w:color="auto" w:sz="4" w:space="0"/>
              <w:bottom w:val="single" w:color="000000" w:sz="4" w:space="0"/>
              <w:right w:val="single" w:color="auto" w:sz="4" w:space="0"/>
            </w:tcBorders>
            <w:shd w:val="clear" w:color="auto" w:fill="auto"/>
            <w:noWrap w:val="0"/>
            <w:vAlign w:val="center"/>
          </w:tcPr>
          <w:p>
            <w:pPr>
              <w:pStyle w:val="8"/>
              <w:spacing w:before="0" w:after="120" w:line="360" w:lineRule="auto"/>
              <w:rPr>
                <w:rStyle w:val="12"/>
                <w:rFonts w:hint="eastAsia" w:ascii="宋体" w:hAnsi="宋体" w:eastAsia="宋体" w:cs="宋体"/>
                <w:sz w:val="18"/>
                <w:szCs w:val="18"/>
              </w:rPr>
            </w:pPr>
          </w:p>
        </w:tc>
        <w:tc>
          <w:tcPr>
            <w:tcW w:w="6260" w:type="dxa"/>
            <w:tcBorders>
              <w:top w:val="nil"/>
              <w:left w:val="nil"/>
              <w:bottom w:val="single" w:color="auto" w:sz="4" w:space="0"/>
              <w:right w:val="single" w:color="auto" w:sz="4" w:space="0"/>
            </w:tcBorders>
            <w:shd w:val="clear" w:color="auto" w:fill="auto"/>
            <w:noWrap/>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每车位日均收益/月均收益/年均收益统计报表</w:t>
            </w:r>
          </w:p>
        </w:tc>
      </w:tr>
      <w:tr>
        <w:trPr>
          <w:trHeight w:val="680" w:hRule="exact"/>
          <w:jc w:val="center"/>
        </w:trPr>
        <w:tc>
          <w:tcPr>
            <w:tcW w:w="1080" w:type="dxa"/>
            <w:vMerge w:val="continue"/>
            <w:tcBorders>
              <w:top w:val="nil"/>
              <w:left w:val="single" w:color="auto" w:sz="4" w:space="0"/>
              <w:bottom w:val="single" w:color="000000" w:sz="4" w:space="0"/>
              <w:right w:val="single" w:color="auto" w:sz="4" w:space="0"/>
            </w:tcBorders>
            <w:shd w:val="clear" w:color="auto" w:fill="auto"/>
            <w:noWrap w:val="0"/>
            <w:vAlign w:val="center"/>
          </w:tcPr>
          <w:p>
            <w:pPr>
              <w:pStyle w:val="8"/>
              <w:spacing w:before="0" w:after="120" w:line="360" w:lineRule="auto"/>
              <w:rPr>
                <w:rStyle w:val="12"/>
                <w:rFonts w:hint="eastAsia" w:ascii="宋体" w:hAnsi="宋体" w:eastAsia="宋体" w:cs="宋体"/>
                <w:sz w:val="18"/>
                <w:szCs w:val="18"/>
              </w:rPr>
            </w:pPr>
          </w:p>
        </w:tc>
        <w:tc>
          <w:tcPr>
            <w:tcW w:w="6260" w:type="dxa"/>
            <w:tcBorders>
              <w:top w:val="nil"/>
              <w:left w:val="nil"/>
              <w:bottom w:val="single" w:color="auto" w:sz="4" w:space="0"/>
              <w:right w:val="single" w:color="auto" w:sz="4" w:space="0"/>
            </w:tcBorders>
            <w:shd w:val="clear" w:color="auto" w:fill="auto"/>
            <w:noWrap/>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停车场月度/年度总收益增长统计报表</w:t>
            </w:r>
          </w:p>
        </w:tc>
      </w:tr>
      <w:tr>
        <w:tblPrEx>
          <w:tblCellMar>
            <w:top w:w="0" w:type="dxa"/>
            <w:left w:w="108" w:type="dxa"/>
            <w:bottom w:w="0" w:type="dxa"/>
            <w:right w:w="108" w:type="dxa"/>
          </w:tblCellMar>
        </w:tblPrEx>
        <w:trPr>
          <w:trHeight w:val="680" w:hRule="exact"/>
          <w:jc w:val="center"/>
        </w:trPr>
        <w:tc>
          <w:tcPr>
            <w:tcW w:w="1080" w:type="dxa"/>
            <w:vMerge w:val="continue"/>
            <w:tcBorders>
              <w:top w:val="nil"/>
              <w:left w:val="single" w:color="auto" w:sz="4" w:space="0"/>
              <w:bottom w:val="single" w:color="000000" w:sz="4" w:space="0"/>
              <w:right w:val="single" w:color="auto" w:sz="4" w:space="0"/>
            </w:tcBorders>
            <w:shd w:val="clear" w:color="auto" w:fill="auto"/>
            <w:noWrap w:val="0"/>
            <w:vAlign w:val="center"/>
          </w:tcPr>
          <w:p>
            <w:pPr>
              <w:pStyle w:val="8"/>
              <w:spacing w:before="0" w:after="120" w:line="360" w:lineRule="auto"/>
              <w:rPr>
                <w:rStyle w:val="12"/>
                <w:rFonts w:hint="eastAsia" w:ascii="宋体" w:hAnsi="宋体" w:eastAsia="宋体" w:cs="宋体"/>
                <w:sz w:val="18"/>
                <w:szCs w:val="18"/>
              </w:rPr>
            </w:pPr>
          </w:p>
        </w:tc>
        <w:tc>
          <w:tcPr>
            <w:tcW w:w="6260" w:type="dxa"/>
            <w:tcBorders>
              <w:top w:val="nil"/>
              <w:left w:val="nil"/>
              <w:bottom w:val="single" w:color="auto" w:sz="4" w:space="0"/>
              <w:right w:val="single" w:color="auto" w:sz="4" w:space="0"/>
            </w:tcBorders>
            <w:shd w:val="clear" w:color="auto" w:fill="auto"/>
            <w:noWrap/>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停车场日总收益/月总收益/年总收益top10统计报表</w:t>
            </w:r>
          </w:p>
        </w:tc>
      </w:tr>
      <w:tr>
        <w:trPr>
          <w:trHeight w:val="680" w:hRule="exact"/>
          <w:jc w:val="center"/>
        </w:trPr>
        <w:tc>
          <w:tcPr>
            <w:tcW w:w="1080" w:type="dxa"/>
            <w:vMerge w:val="continue"/>
            <w:tcBorders>
              <w:top w:val="nil"/>
              <w:left w:val="single" w:color="auto" w:sz="4" w:space="0"/>
              <w:bottom w:val="single" w:color="000000" w:sz="4" w:space="0"/>
              <w:right w:val="single" w:color="auto" w:sz="4" w:space="0"/>
            </w:tcBorders>
            <w:shd w:val="clear" w:color="auto" w:fill="auto"/>
            <w:noWrap w:val="0"/>
            <w:vAlign w:val="center"/>
          </w:tcPr>
          <w:p>
            <w:pPr>
              <w:pStyle w:val="8"/>
              <w:spacing w:before="0" w:after="120" w:line="360" w:lineRule="auto"/>
              <w:rPr>
                <w:rStyle w:val="12"/>
                <w:rFonts w:hint="eastAsia" w:ascii="宋体" w:hAnsi="宋体" w:eastAsia="宋体" w:cs="宋体"/>
                <w:sz w:val="18"/>
                <w:szCs w:val="18"/>
              </w:rPr>
            </w:pPr>
          </w:p>
        </w:tc>
        <w:tc>
          <w:tcPr>
            <w:tcW w:w="6260" w:type="dxa"/>
            <w:tcBorders>
              <w:top w:val="nil"/>
              <w:left w:val="nil"/>
              <w:bottom w:val="single" w:color="auto" w:sz="4" w:space="0"/>
              <w:right w:val="single" w:color="auto" w:sz="4" w:space="0"/>
            </w:tcBorders>
            <w:shd w:val="clear" w:color="auto" w:fill="auto"/>
            <w:noWrap/>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停车场月度/年度总收益最快增长top10统计报表</w:t>
            </w:r>
          </w:p>
        </w:tc>
      </w:tr>
      <w:tr>
        <w:trPr>
          <w:trHeight w:val="680" w:hRule="exact"/>
          <w:jc w:val="center"/>
        </w:trPr>
        <w:tc>
          <w:tcPr>
            <w:tcW w:w="1080" w:type="dxa"/>
            <w:vMerge w:val="continue"/>
            <w:tcBorders>
              <w:top w:val="nil"/>
              <w:left w:val="single" w:color="auto" w:sz="4" w:space="0"/>
              <w:bottom w:val="single" w:color="000000" w:sz="4" w:space="0"/>
              <w:right w:val="single" w:color="auto" w:sz="4" w:space="0"/>
            </w:tcBorders>
            <w:shd w:val="clear" w:color="auto" w:fill="auto"/>
            <w:noWrap w:val="0"/>
            <w:vAlign w:val="center"/>
          </w:tcPr>
          <w:p>
            <w:pPr>
              <w:pStyle w:val="8"/>
              <w:spacing w:before="0" w:after="120" w:line="360" w:lineRule="auto"/>
              <w:rPr>
                <w:rStyle w:val="12"/>
                <w:rFonts w:hint="eastAsia" w:ascii="宋体" w:hAnsi="宋体" w:eastAsia="宋体" w:cs="宋体"/>
                <w:sz w:val="18"/>
                <w:szCs w:val="18"/>
              </w:rPr>
            </w:pPr>
          </w:p>
        </w:tc>
        <w:tc>
          <w:tcPr>
            <w:tcW w:w="6260" w:type="dxa"/>
            <w:tcBorders>
              <w:top w:val="nil"/>
              <w:left w:val="nil"/>
              <w:bottom w:val="single" w:color="auto" w:sz="4" w:space="0"/>
              <w:right w:val="single" w:color="auto" w:sz="4" w:space="0"/>
            </w:tcBorders>
            <w:shd w:val="clear" w:color="auto" w:fill="auto"/>
            <w:noWrap/>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停车场日空位数/月空位数/年空位数统计报表</w:t>
            </w:r>
          </w:p>
        </w:tc>
      </w:tr>
      <w:tr>
        <w:tblPrEx>
          <w:tblCellMar>
            <w:top w:w="0" w:type="dxa"/>
            <w:left w:w="108" w:type="dxa"/>
            <w:bottom w:w="0" w:type="dxa"/>
            <w:right w:w="108" w:type="dxa"/>
          </w:tblCellMar>
        </w:tblPrEx>
        <w:trPr>
          <w:trHeight w:val="680" w:hRule="exact"/>
          <w:jc w:val="center"/>
        </w:trPr>
        <w:tc>
          <w:tcPr>
            <w:tcW w:w="1080" w:type="dxa"/>
            <w:vMerge w:val="continue"/>
            <w:tcBorders>
              <w:top w:val="nil"/>
              <w:left w:val="single" w:color="auto" w:sz="4" w:space="0"/>
              <w:bottom w:val="single" w:color="000000" w:sz="4" w:space="0"/>
              <w:right w:val="single" w:color="auto" w:sz="4" w:space="0"/>
            </w:tcBorders>
            <w:shd w:val="clear" w:color="auto" w:fill="auto"/>
            <w:noWrap w:val="0"/>
            <w:vAlign w:val="center"/>
          </w:tcPr>
          <w:p>
            <w:pPr>
              <w:pStyle w:val="8"/>
              <w:spacing w:before="0" w:after="120" w:line="360" w:lineRule="auto"/>
              <w:rPr>
                <w:rStyle w:val="12"/>
                <w:rFonts w:hint="eastAsia" w:ascii="宋体" w:hAnsi="宋体" w:eastAsia="宋体" w:cs="宋体"/>
                <w:sz w:val="18"/>
                <w:szCs w:val="18"/>
              </w:rPr>
            </w:pPr>
          </w:p>
        </w:tc>
        <w:tc>
          <w:tcPr>
            <w:tcW w:w="6260" w:type="dxa"/>
            <w:tcBorders>
              <w:top w:val="nil"/>
              <w:left w:val="nil"/>
              <w:bottom w:val="single" w:color="auto" w:sz="4" w:space="0"/>
              <w:right w:val="single" w:color="auto" w:sz="4" w:space="0"/>
            </w:tcBorders>
            <w:shd w:val="clear" w:color="auto" w:fill="auto"/>
            <w:noWrap/>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停车场日利用率/月利用率/年利用率统计报表</w:t>
            </w:r>
          </w:p>
        </w:tc>
      </w:tr>
      <w:tr>
        <w:tblPrEx>
          <w:tblCellMar>
            <w:top w:w="0" w:type="dxa"/>
            <w:left w:w="108" w:type="dxa"/>
            <w:bottom w:w="0" w:type="dxa"/>
            <w:right w:w="108" w:type="dxa"/>
          </w:tblCellMar>
        </w:tblPrEx>
        <w:trPr>
          <w:trHeight w:val="680" w:hRule="exact"/>
          <w:jc w:val="center"/>
        </w:trPr>
        <w:tc>
          <w:tcPr>
            <w:tcW w:w="1080" w:type="dxa"/>
            <w:vMerge w:val="continue"/>
            <w:tcBorders>
              <w:top w:val="nil"/>
              <w:left w:val="single" w:color="auto" w:sz="4" w:space="0"/>
              <w:bottom w:val="single" w:color="000000" w:sz="4" w:space="0"/>
              <w:right w:val="single" w:color="auto" w:sz="4" w:space="0"/>
            </w:tcBorders>
            <w:shd w:val="clear" w:color="auto" w:fill="auto"/>
            <w:noWrap w:val="0"/>
            <w:vAlign w:val="center"/>
          </w:tcPr>
          <w:p>
            <w:pPr>
              <w:pStyle w:val="8"/>
              <w:spacing w:before="0" w:after="120" w:line="360" w:lineRule="auto"/>
              <w:rPr>
                <w:rStyle w:val="12"/>
                <w:rFonts w:hint="eastAsia" w:ascii="宋体" w:hAnsi="宋体" w:eastAsia="宋体" w:cs="宋体"/>
                <w:sz w:val="18"/>
                <w:szCs w:val="18"/>
              </w:rPr>
            </w:pPr>
          </w:p>
        </w:tc>
        <w:tc>
          <w:tcPr>
            <w:tcW w:w="6260" w:type="dxa"/>
            <w:tcBorders>
              <w:top w:val="nil"/>
              <w:left w:val="nil"/>
              <w:bottom w:val="single" w:color="auto" w:sz="4" w:space="0"/>
              <w:right w:val="single" w:color="auto" w:sz="4" w:space="0"/>
            </w:tcBorders>
            <w:shd w:val="clear" w:color="auto" w:fill="auto"/>
            <w:noWrap/>
            <w:vAlign w:val="center"/>
          </w:tcPr>
          <w:p>
            <w:pPr>
              <w:pStyle w:val="8"/>
              <w:spacing w:before="0" w:after="120" w:line="360" w:lineRule="auto"/>
              <w:rPr>
                <w:rStyle w:val="12"/>
                <w:rFonts w:hint="eastAsia" w:ascii="宋体" w:hAnsi="宋体" w:eastAsia="宋体" w:cs="宋体"/>
                <w:sz w:val="18"/>
                <w:szCs w:val="18"/>
                <w:lang w:eastAsia="zh-CN"/>
              </w:rPr>
            </w:pPr>
            <w:r>
              <w:rPr>
                <w:rStyle w:val="12"/>
                <w:rFonts w:hint="eastAsia" w:ascii="宋体" w:hAnsi="宋体" w:eastAsia="宋体" w:cs="宋体"/>
                <w:sz w:val="18"/>
                <w:szCs w:val="18"/>
              </w:rPr>
              <w:t>停车场日流量/月流量/年流量统计报表</w:t>
            </w:r>
            <w:r>
              <w:rPr>
                <w:rStyle w:val="12"/>
                <w:rFonts w:hint="eastAsia" w:ascii="宋体" w:hAnsi="宋体" w:cs="宋体"/>
                <w:sz w:val="18"/>
                <w:szCs w:val="18"/>
                <w:lang w:eastAsia="zh-CN"/>
              </w:rPr>
              <w:t>（</w:t>
            </w:r>
            <w:r>
              <w:rPr>
                <w:rStyle w:val="12"/>
                <w:rFonts w:hint="eastAsia" w:ascii="宋体" w:hAnsi="宋体" w:eastAsia="宋体" w:cs="宋体"/>
                <w:sz w:val="18"/>
                <w:szCs w:val="18"/>
              </w:rPr>
              <w:t>停车次数</w:t>
            </w:r>
            <w:r>
              <w:rPr>
                <w:rStyle w:val="12"/>
                <w:rFonts w:hint="eastAsia" w:ascii="宋体" w:hAnsi="宋体" w:cs="宋体"/>
                <w:sz w:val="18"/>
                <w:szCs w:val="18"/>
                <w:lang w:eastAsia="zh-CN"/>
              </w:rPr>
              <w:t>）</w:t>
            </w:r>
          </w:p>
        </w:tc>
      </w:tr>
      <w:tr>
        <w:tblPrEx>
          <w:tblCellMar>
            <w:top w:w="0" w:type="dxa"/>
            <w:left w:w="108" w:type="dxa"/>
            <w:bottom w:w="0" w:type="dxa"/>
            <w:right w:w="108" w:type="dxa"/>
          </w:tblCellMar>
        </w:tblPrEx>
        <w:trPr>
          <w:trHeight w:val="680" w:hRule="exact"/>
          <w:jc w:val="center"/>
        </w:trPr>
        <w:tc>
          <w:tcPr>
            <w:tcW w:w="1080" w:type="dxa"/>
            <w:vMerge w:val="continue"/>
            <w:tcBorders>
              <w:top w:val="nil"/>
              <w:left w:val="single" w:color="auto" w:sz="4" w:space="0"/>
              <w:bottom w:val="single" w:color="000000" w:sz="4" w:space="0"/>
              <w:right w:val="single" w:color="auto" w:sz="4" w:space="0"/>
            </w:tcBorders>
            <w:shd w:val="clear" w:color="auto" w:fill="auto"/>
            <w:noWrap w:val="0"/>
            <w:vAlign w:val="center"/>
          </w:tcPr>
          <w:p>
            <w:pPr>
              <w:pStyle w:val="8"/>
              <w:spacing w:before="0" w:after="120" w:line="360" w:lineRule="auto"/>
              <w:rPr>
                <w:rStyle w:val="12"/>
                <w:rFonts w:hint="eastAsia" w:ascii="宋体" w:hAnsi="宋体" w:eastAsia="宋体" w:cs="宋体"/>
                <w:sz w:val="18"/>
                <w:szCs w:val="18"/>
              </w:rPr>
            </w:pPr>
          </w:p>
        </w:tc>
        <w:tc>
          <w:tcPr>
            <w:tcW w:w="6260" w:type="dxa"/>
            <w:tcBorders>
              <w:top w:val="nil"/>
              <w:left w:val="nil"/>
              <w:bottom w:val="single" w:color="auto" w:sz="4" w:space="0"/>
              <w:right w:val="single" w:color="auto" w:sz="4" w:space="0"/>
            </w:tcBorders>
            <w:shd w:val="clear" w:color="auto" w:fill="auto"/>
            <w:noWrap/>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停车场日周转率/月周转率/年周转率统计报表</w:t>
            </w:r>
          </w:p>
        </w:tc>
      </w:tr>
      <w:tr>
        <w:trPr>
          <w:trHeight w:val="680" w:hRule="exact"/>
          <w:jc w:val="center"/>
        </w:trPr>
        <w:tc>
          <w:tcPr>
            <w:tcW w:w="1080" w:type="dxa"/>
            <w:vMerge w:val="continue"/>
            <w:tcBorders>
              <w:top w:val="nil"/>
              <w:left w:val="single" w:color="auto" w:sz="4" w:space="0"/>
              <w:bottom w:val="single" w:color="000000" w:sz="4" w:space="0"/>
              <w:right w:val="single" w:color="auto" w:sz="4" w:space="0"/>
            </w:tcBorders>
            <w:shd w:val="clear" w:color="auto" w:fill="auto"/>
            <w:noWrap w:val="0"/>
            <w:vAlign w:val="center"/>
          </w:tcPr>
          <w:p>
            <w:pPr>
              <w:pStyle w:val="8"/>
              <w:spacing w:before="0" w:after="120" w:line="360" w:lineRule="auto"/>
              <w:rPr>
                <w:rStyle w:val="12"/>
                <w:rFonts w:hint="eastAsia" w:ascii="宋体" w:hAnsi="宋体" w:eastAsia="宋体" w:cs="宋体"/>
                <w:sz w:val="18"/>
                <w:szCs w:val="18"/>
              </w:rPr>
            </w:pPr>
          </w:p>
        </w:tc>
        <w:tc>
          <w:tcPr>
            <w:tcW w:w="6260" w:type="dxa"/>
            <w:tcBorders>
              <w:top w:val="nil"/>
              <w:left w:val="nil"/>
              <w:bottom w:val="single" w:color="auto" w:sz="4" w:space="0"/>
              <w:right w:val="single" w:color="auto" w:sz="4" w:space="0"/>
            </w:tcBorders>
            <w:shd w:val="clear" w:color="auto" w:fill="auto"/>
            <w:noWrap/>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停车场基础信息报表</w:t>
            </w:r>
          </w:p>
        </w:tc>
      </w:tr>
      <w:tr>
        <w:tblPrEx>
          <w:tblCellMar>
            <w:top w:w="0" w:type="dxa"/>
            <w:left w:w="108" w:type="dxa"/>
            <w:bottom w:w="0" w:type="dxa"/>
            <w:right w:w="108" w:type="dxa"/>
          </w:tblCellMar>
        </w:tblPrEx>
        <w:trPr>
          <w:trHeight w:val="680" w:hRule="exact"/>
          <w:jc w:val="center"/>
        </w:trPr>
        <w:tc>
          <w:tcPr>
            <w:tcW w:w="1080" w:type="dxa"/>
            <w:vMerge w:val="continue"/>
            <w:tcBorders>
              <w:top w:val="nil"/>
              <w:left w:val="single" w:color="auto" w:sz="4" w:space="0"/>
              <w:bottom w:val="single" w:color="000000" w:sz="4" w:space="0"/>
              <w:right w:val="single" w:color="auto" w:sz="4" w:space="0"/>
            </w:tcBorders>
            <w:shd w:val="clear" w:color="auto" w:fill="auto"/>
            <w:noWrap w:val="0"/>
            <w:vAlign w:val="center"/>
          </w:tcPr>
          <w:p>
            <w:pPr>
              <w:pStyle w:val="8"/>
              <w:spacing w:before="0" w:after="120" w:line="360" w:lineRule="auto"/>
              <w:rPr>
                <w:rStyle w:val="12"/>
                <w:rFonts w:hint="eastAsia" w:ascii="宋体" w:hAnsi="宋体" w:eastAsia="宋体" w:cs="宋体"/>
                <w:sz w:val="18"/>
                <w:szCs w:val="18"/>
              </w:rPr>
            </w:pPr>
          </w:p>
        </w:tc>
        <w:tc>
          <w:tcPr>
            <w:tcW w:w="6260" w:type="dxa"/>
            <w:tcBorders>
              <w:top w:val="nil"/>
              <w:left w:val="nil"/>
              <w:bottom w:val="single" w:color="auto" w:sz="4" w:space="0"/>
              <w:right w:val="single" w:color="auto" w:sz="4" w:space="0"/>
            </w:tcBorders>
            <w:shd w:val="clear" w:color="auto" w:fill="auto"/>
            <w:noWrap/>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停车场用户停车时长分布报表</w:t>
            </w:r>
          </w:p>
        </w:tc>
      </w:tr>
      <w:tr>
        <w:trPr>
          <w:trHeight w:val="680" w:hRule="exact"/>
          <w:jc w:val="center"/>
        </w:trPr>
        <w:tc>
          <w:tcPr>
            <w:tcW w:w="1080" w:type="dxa"/>
            <w:vMerge w:val="continue"/>
            <w:tcBorders>
              <w:top w:val="nil"/>
              <w:left w:val="single" w:color="auto" w:sz="4" w:space="0"/>
              <w:bottom w:val="single" w:color="000000" w:sz="4" w:space="0"/>
              <w:right w:val="single" w:color="auto" w:sz="4" w:space="0"/>
            </w:tcBorders>
            <w:shd w:val="clear" w:color="auto" w:fill="auto"/>
            <w:noWrap w:val="0"/>
            <w:vAlign w:val="center"/>
          </w:tcPr>
          <w:p>
            <w:pPr>
              <w:pStyle w:val="8"/>
              <w:spacing w:before="0" w:after="120" w:line="360" w:lineRule="auto"/>
              <w:rPr>
                <w:rStyle w:val="12"/>
                <w:rFonts w:hint="eastAsia" w:ascii="宋体" w:hAnsi="宋体" w:eastAsia="宋体" w:cs="宋体"/>
                <w:sz w:val="18"/>
                <w:szCs w:val="18"/>
              </w:rPr>
            </w:pPr>
          </w:p>
        </w:tc>
        <w:tc>
          <w:tcPr>
            <w:tcW w:w="6260" w:type="dxa"/>
            <w:tcBorders>
              <w:top w:val="nil"/>
              <w:left w:val="nil"/>
              <w:bottom w:val="single" w:color="auto" w:sz="4" w:space="0"/>
              <w:right w:val="single" w:color="auto" w:sz="4" w:space="0"/>
            </w:tcBorders>
            <w:shd w:val="clear" w:color="auto" w:fill="auto"/>
            <w:noWrap/>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停车场停泊车型分布报表</w:t>
            </w:r>
          </w:p>
        </w:tc>
      </w:tr>
      <w:tr>
        <w:tblPrEx>
          <w:tblCellMar>
            <w:top w:w="0" w:type="dxa"/>
            <w:left w:w="108" w:type="dxa"/>
            <w:bottom w:w="0" w:type="dxa"/>
            <w:right w:w="108" w:type="dxa"/>
          </w:tblCellMar>
        </w:tblPrEx>
        <w:trPr>
          <w:trHeight w:val="680" w:hRule="exact"/>
          <w:jc w:val="center"/>
        </w:trPr>
        <w:tc>
          <w:tcPr>
            <w:tcW w:w="1080" w:type="dxa"/>
            <w:vMerge w:val="continue"/>
            <w:tcBorders>
              <w:top w:val="nil"/>
              <w:left w:val="single" w:color="auto" w:sz="4" w:space="0"/>
              <w:bottom w:val="single" w:color="000000" w:sz="4" w:space="0"/>
              <w:right w:val="single" w:color="auto" w:sz="4" w:space="0"/>
            </w:tcBorders>
            <w:shd w:val="clear" w:color="auto" w:fill="auto"/>
            <w:noWrap w:val="0"/>
            <w:vAlign w:val="center"/>
          </w:tcPr>
          <w:p>
            <w:pPr>
              <w:pStyle w:val="8"/>
              <w:spacing w:before="0" w:after="120" w:line="360" w:lineRule="auto"/>
              <w:rPr>
                <w:rStyle w:val="12"/>
                <w:rFonts w:hint="eastAsia" w:ascii="宋体" w:hAnsi="宋体" w:eastAsia="宋体" w:cs="宋体"/>
                <w:sz w:val="18"/>
                <w:szCs w:val="18"/>
              </w:rPr>
            </w:pPr>
          </w:p>
        </w:tc>
        <w:tc>
          <w:tcPr>
            <w:tcW w:w="6260" w:type="dxa"/>
            <w:tcBorders>
              <w:top w:val="nil"/>
              <w:left w:val="nil"/>
              <w:bottom w:val="single" w:color="auto" w:sz="4" w:space="0"/>
              <w:right w:val="single" w:color="auto" w:sz="4" w:space="0"/>
            </w:tcBorders>
            <w:shd w:val="clear" w:color="auto" w:fill="auto"/>
            <w:noWrap/>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停车场月卡/临时卡组成报表</w:t>
            </w:r>
          </w:p>
        </w:tc>
      </w:tr>
      <w:tr>
        <w:tblPrEx>
          <w:tblCellMar>
            <w:top w:w="0" w:type="dxa"/>
            <w:left w:w="108" w:type="dxa"/>
            <w:bottom w:w="0" w:type="dxa"/>
            <w:right w:w="108" w:type="dxa"/>
          </w:tblCellMar>
        </w:tblPrEx>
        <w:trPr>
          <w:trHeight w:val="680" w:hRule="exact"/>
          <w:jc w:val="center"/>
        </w:trPr>
        <w:tc>
          <w:tcPr>
            <w:tcW w:w="1080" w:type="dxa"/>
            <w:vMerge w:val="continue"/>
            <w:tcBorders>
              <w:top w:val="nil"/>
              <w:left w:val="single" w:color="auto" w:sz="4" w:space="0"/>
              <w:bottom w:val="single" w:color="000000" w:sz="4" w:space="0"/>
              <w:right w:val="single" w:color="auto" w:sz="4" w:space="0"/>
            </w:tcBorders>
            <w:shd w:val="clear" w:color="auto" w:fill="auto"/>
            <w:noWrap w:val="0"/>
            <w:vAlign w:val="center"/>
          </w:tcPr>
          <w:p>
            <w:pPr>
              <w:pStyle w:val="8"/>
              <w:spacing w:before="0" w:after="120" w:line="360" w:lineRule="auto"/>
              <w:rPr>
                <w:rStyle w:val="12"/>
                <w:rFonts w:hint="eastAsia" w:ascii="宋体" w:hAnsi="宋体" w:eastAsia="宋体" w:cs="宋体"/>
                <w:sz w:val="18"/>
                <w:szCs w:val="18"/>
              </w:rPr>
            </w:pPr>
          </w:p>
        </w:tc>
        <w:tc>
          <w:tcPr>
            <w:tcW w:w="6260" w:type="dxa"/>
            <w:tcBorders>
              <w:top w:val="nil"/>
              <w:left w:val="nil"/>
              <w:bottom w:val="single" w:color="auto" w:sz="4" w:space="0"/>
              <w:right w:val="single" w:color="auto" w:sz="4" w:space="0"/>
            </w:tcBorders>
            <w:shd w:val="clear" w:color="auto" w:fill="auto"/>
            <w:noWrap/>
            <w:vAlign w:val="center"/>
          </w:tcPr>
          <w:p>
            <w:pPr>
              <w:pStyle w:val="8"/>
              <w:spacing w:before="0" w:after="120" w:line="360" w:lineRule="auto"/>
              <w:rPr>
                <w:rStyle w:val="12"/>
                <w:rFonts w:hint="eastAsia" w:ascii="宋体" w:hAnsi="宋体" w:eastAsia="宋体" w:cs="宋体"/>
                <w:sz w:val="18"/>
                <w:szCs w:val="18"/>
              </w:rPr>
            </w:pPr>
            <w:r>
              <w:rPr>
                <w:rStyle w:val="12"/>
                <w:rFonts w:hint="eastAsia" w:ascii="宋体" w:hAnsi="宋体" w:eastAsia="宋体" w:cs="宋体"/>
                <w:sz w:val="18"/>
                <w:szCs w:val="18"/>
              </w:rPr>
              <w:t>停车场支付类型报表</w:t>
            </w:r>
          </w:p>
        </w:tc>
      </w:tr>
    </w:tbl>
    <w:p>
      <w:pPr>
        <w:pStyle w:val="33"/>
        <w:spacing w:before="156" w:after="156" w:line="360" w:lineRule="auto"/>
        <w:rPr>
          <w:rFonts w:hint="eastAsia"/>
          <w:szCs w:val="24"/>
        </w:rPr>
      </w:pPr>
      <w:bookmarkStart w:id="114" w:name="_Toc3593"/>
      <w:r>
        <w:rPr>
          <w:rFonts w:hint="eastAsia"/>
          <w:szCs w:val="24"/>
        </w:rPr>
        <w:t>准入停车场（库）信息发布与共享</w:t>
      </w:r>
      <w:bookmarkEnd w:id="114"/>
    </w:p>
    <w:p>
      <w:pPr>
        <w:numPr>
          <w:ilvl w:val="0"/>
          <w:numId w:val="0"/>
        </w:numPr>
        <w:spacing w:line="360" w:lineRule="auto"/>
        <w:ind w:firstLine="420" w:firstLineChars="0"/>
        <w:rPr>
          <w:rFonts w:hint="eastAsia" w:ascii="宋体" w:hAnsi="宋体" w:eastAsia="宋体" w:cs="宋体"/>
          <w:szCs w:val="24"/>
        </w:rPr>
      </w:pPr>
      <w:r>
        <w:rPr>
          <w:rFonts w:hint="eastAsia" w:ascii="黑体" w:eastAsia="黑体"/>
          <w:szCs w:val="21"/>
        </w:rPr>
        <w:t>停车场接入服务</w:t>
      </w:r>
      <w:r>
        <w:rPr>
          <w:rFonts w:hint="eastAsia" w:ascii="宋体" w:hAnsi="宋体" w:eastAsia="宋体" w:cs="宋体"/>
          <w:szCs w:val="24"/>
        </w:rPr>
        <w:t>平台发布与共享信息，用于支撑辽宁高速ETC停车自身业务拓展，政府、城建、交管</w:t>
      </w:r>
      <w:r>
        <w:rPr>
          <w:rFonts w:hint="eastAsia" w:ascii="宋体" w:hAnsi="宋体" w:cs="宋体"/>
          <w:szCs w:val="24"/>
          <w:lang w:val="en-US" w:eastAsia="zh-CN"/>
        </w:rPr>
        <w:t>和</w:t>
      </w:r>
      <w:r>
        <w:rPr>
          <w:rFonts w:hint="eastAsia" w:ascii="宋体" w:hAnsi="宋体" w:eastAsia="宋体" w:cs="宋体"/>
          <w:szCs w:val="24"/>
        </w:rPr>
        <w:t>交警等机构监管需求。提供的信息发布与共享的内容包括但不限于如</w:t>
      </w:r>
      <w:r>
        <w:rPr>
          <w:rFonts w:hint="eastAsia" w:ascii="宋体" w:hAnsi="宋体" w:cs="宋体"/>
          <w:szCs w:val="24"/>
          <w:lang w:eastAsia="zh-CN"/>
        </w:rPr>
        <w:t>表</w:t>
      </w:r>
      <w:r>
        <w:rPr>
          <w:rFonts w:hint="eastAsia" w:ascii="宋体" w:hAnsi="宋体" w:eastAsia="宋体" w:cs="宋体"/>
          <w:szCs w:val="24"/>
        </w:rPr>
        <w:t>9所示：</w:t>
      </w:r>
    </w:p>
    <w:p>
      <w:pPr>
        <w:numPr>
          <w:ilvl w:val="0"/>
          <w:numId w:val="0"/>
        </w:numPr>
        <w:spacing w:line="360" w:lineRule="auto"/>
        <w:ind w:left="840" w:firstLine="0"/>
        <w:jc w:val="center"/>
        <w:rPr>
          <w:rFonts w:hint="eastAsia" w:ascii="黑体" w:hAnsi="黑体" w:eastAsia="黑体" w:cs="黑体"/>
          <w:szCs w:val="24"/>
        </w:rPr>
      </w:pPr>
      <w:r>
        <w:rPr>
          <w:rFonts w:hint="eastAsia" w:ascii="黑体" w:hAnsi="黑体" w:eastAsia="黑体" w:cs="黑体"/>
          <w:szCs w:val="24"/>
        </w:rPr>
        <w:t>表9</w:t>
      </w:r>
      <w:r>
        <w:rPr>
          <w:rFonts w:hint="eastAsia" w:ascii="黑体" w:hAnsi="黑体" w:eastAsia="黑体" w:cs="黑体"/>
          <w:szCs w:val="24"/>
          <w:lang w:eastAsia="zh-CN"/>
        </w:rPr>
        <w:t>　</w:t>
      </w:r>
      <w:r>
        <w:rPr>
          <w:rFonts w:hint="eastAsia" w:ascii="黑体" w:hAnsi="黑体" w:eastAsia="黑体" w:cs="黑体"/>
          <w:szCs w:val="24"/>
        </w:rPr>
        <w:t>信息发布与共享关键内容</w:t>
      </w:r>
    </w:p>
    <w:tbl>
      <w:tblPr>
        <w:tblStyle w:val="9"/>
        <w:tblW w:w="708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73"/>
        <w:gridCol w:w="59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jc w:val="center"/>
              <w:rPr>
                <w:rStyle w:val="12"/>
                <w:rFonts w:hint="eastAsia" w:ascii="宋体" w:hAnsi="宋体" w:eastAsia="宋体" w:cs="宋体"/>
                <w:sz w:val="18"/>
                <w:szCs w:val="18"/>
              </w:rPr>
            </w:pPr>
            <w:r>
              <w:rPr>
                <w:rStyle w:val="12"/>
                <w:rFonts w:hint="eastAsia" w:ascii="宋体" w:hAnsi="宋体" w:eastAsia="宋体" w:cs="宋体"/>
                <w:sz w:val="18"/>
                <w:szCs w:val="18"/>
              </w:rPr>
              <w:t>序号</w:t>
            </w:r>
          </w:p>
        </w:tc>
        <w:tc>
          <w:tcPr>
            <w:tcW w:w="5912" w:type="dxa"/>
            <w:noWrap w:val="0"/>
            <w:vAlign w:val="center"/>
          </w:tcPr>
          <w:p>
            <w:pPr>
              <w:pStyle w:val="8"/>
              <w:spacing w:before="0" w:after="120" w:line="360" w:lineRule="auto"/>
              <w:jc w:val="center"/>
              <w:rPr>
                <w:rStyle w:val="12"/>
                <w:rFonts w:hint="eastAsia" w:ascii="宋体" w:hAnsi="宋体" w:eastAsia="宋体" w:cs="宋体"/>
                <w:sz w:val="18"/>
                <w:szCs w:val="18"/>
              </w:rPr>
            </w:pPr>
            <w:r>
              <w:rPr>
                <w:rStyle w:val="12"/>
                <w:rFonts w:hint="eastAsia" w:ascii="宋体" w:hAnsi="宋体" w:eastAsia="宋体" w:cs="宋体"/>
                <w:sz w:val="18"/>
                <w:szCs w:val="18"/>
              </w:rPr>
              <w:t>项目类别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1</w:t>
            </w:r>
          </w:p>
        </w:tc>
        <w:tc>
          <w:tcPr>
            <w:tcW w:w="5912" w:type="dxa"/>
            <w:noWrap w:val="0"/>
            <w:vAlign w:val="center"/>
          </w:tcPr>
          <w:p>
            <w:pPr>
              <w:pStyle w:val="8"/>
              <w:spacing w:before="0" w:after="120" w:line="360" w:lineRule="auto"/>
              <w:jc w:val="both"/>
              <w:rPr>
                <w:rStyle w:val="12"/>
                <w:rFonts w:hint="eastAsia" w:ascii="宋体" w:hAnsi="宋体" w:eastAsia="宋体" w:cs="宋体"/>
                <w:sz w:val="18"/>
                <w:szCs w:val="18"/>
                <w:lang w:eastAsia="zh-CN"/>
              </w:rPr>
            </w:pPr>
            <w:r>
              <w:rPr>
                <w:rStyle w:val="12"/>
                <w:rFonts w:hint="eastAsia" w:ascii="宋体" w:hAnsi="宋体" w:eastAsia="宋体" w:cs="宋体"/>
                <w:sz w:val="18"/>
                <w:szCs w:val="18"/>
              </w:rPr>
              <w:t>停车场（库）位置信息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2</w:t>
            </w:r>
          </w:p>
        </w:tc>
        <w:tc>
          <w:tcPr>
            <w:tcW w:w="5912" w:type="dxa"/>
            <w:noWrap w:val="0"/>
            <w:vAlign w:val="center"/>
          </w:tcPr>
          <w:p>
            <w:pPr>
              <w:pStyle w:val="8"/>
              <w:spacing w:before="0" w:after="120" w:line="360" w:lineRule="auto"/>
              <w:jc w:val="both"/>
              <w:rPr>
                <w:rStyle w:val="12"/>
                <w:rFonts w:hint="eastAsia" w:ascii="宋体" w:hAnsi="宋体" w:eastAsia="宋体" w:cs="宋体"/>
                <w:sz w:val="18"/>
                <w:szCs w:val="18"/>
                <w:lang w:eastAsia="zh-CN"/>
              </w:rPr>
            </w:pPr>
            <w:r>
              <w:rPr>
                <w:rStyle w:val="12"/>
                <w:rFonts w:hint="eastAsia" w:ascii="宋体" w:hAnsi="宋体" w:eastAsia="宋体" w:cs="宋体"/>
                <w:sz w:val="18"/>
                <w:szCs w:val="18"/>
              </w:rPr>
              <w:t>停车场（库）收费标准信息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3</w:t>
            </w:r>
          </w:p>
        </w:tc>
        <w:tc>
          <w:tcPr>
            <w:tcW w:w="5912" w:type="dxa"/>
            <w:noWrap w:val="0"/>
            <w:vAlign w:val="center"/>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停车场（库）出入口位置信息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4</w:t>
            </w:r>
          </w:p>
        </w:tc>
        <w:tc>
          <w:tcPr>
            <w:tcW w:w="5912" w:type="dxa"/>
            <w:noWrap w:val="0"/>
            <w:vAlign w:val="center"/>
          </w:tcPr>
          <w:p>
            <w:pPr>
              <w:pStyle w:val="8"/>
              <w:spacing w:before="0" w:after="120" w:line="360" w:lineRule="auto"/>
              <w:jc w:val="both"/>
              <w:rPr>
                <w:rStyle w:val="12"/>
                <w:rFonts w:hint="eastAsia" w:ascii="宋体" w:hAnsi="宋体" w:eastAsia="宋体" w:cs="宋体"/>
                <w:sz w:val="18"/>
                <w:szCs w:val="18"/>
                <w:lang w:eastAsia="zh-CN"/>
              </w:rPr>
            </w:pPr>
            <w:r>
              <w:rPr>
                <w:rStyle w:val="12"/>
                <w:rFonts w:hint="eastAsia" w:ascii="宋体" w:hAnsi="宋体" w:eastAsia="宋体" w:cs="宋体"/>
                <w:sz w:val="18"/>
                <w:szCs w:val="18"/>
              </w:rPr>
              <w:t>停车场（库）实时车位信息（不含充电桩）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5</w:t>
            </w:r>
          </w:p>
        </w:tc>
        <w:tc>
          <w:tcPr>
            <w:tcW w:w="5912" w:type="dxa"/>
            <w:noWrap w:val="0"/>
            <w:vAlign w:val="center"/>
          </w:tcPr>
          <w:p>
            <w:pPr>
              <w:pStyle w:val="8"/>
              <w:spacing w:before="0" w:after="120" w:line="360" w:lineRule="auto"/>
              <w:jc w:val="both"/>
              <w:rPr>
                <w:rStyle w:val="12"/>
                <w:rFonts w:hint="eastAsia" w:ascii="宋体" w:hAnsi="宋体" w:eastAsia="宋体" w:cs="宋体"/>
                <w:sz w:val="18"/>
                <w:szCs w:val="18"/>
                <w:lang w:eastAsia="zh-CN"/>
              </w:rPr>
            </w:pPr>
            <w:r>
              <w:rPr>
                <w:rStyle w:val="12"/>
                <w:rFonts w:hint="eastAsia" w:ascii="宋体" w:hAnsi="宋体" w:eastAsia="宋体" w:cs="宋体"/>
                <w:sz w:val="18"/>
                <w:szCs w:val="18"/>
              </w:rPr>
              <w:t>停车场（库）实时充电桩信息（含充电桩规格信息）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6</w:t>
            </w:r>
          </w:p>
        </w:tc>
        <w:tc>
          <w:tcPr>
            <w:tcW w:w="5912" w:type="dxa"/>
            <w:noWrap w:val="0"/>
            <w:vAlign w:val="center"/>
          </w:tcPr>
          <w:p>
            <w:pPr>
              <w:pStyle w:val="8"/>
              <w:spacing w:before="0" w:after="120" w:line="360" w:lineRule="auto"/>
              <w:jc w:val="both"/>
              <w:rPr>
                <w:rStyle w:val="12"/>
                <w:rFonts w:hint="eastAsia" w:ascii="宋体" w:hAnsi="宋体" w:eastAsia="宋体" w:cs="宋体"/>
                <w:sz w:val="18"/>
                <w:szCs w:val="18"/>
                <w:lang w:eastAsia="zh-CN"/>
              </w:rPr>
            </w:pPr>
            <w:r>
              <w:rPr>
                <w:rStyle w:val="12"/>
                <w:rFonts w:hint="eastAsia" w:ascii="宋体" w:hAnsi="宋体" w:eastAsia="宋体" w:cs="宋体"/>
                <w:sz w:val="18"/>
                <w:szCs w:val="18"/>
              </w:rPr>
              <w:t>停车场（库）实时车位饱和度信息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7</w:t>
            </w:r>
          </w:p>
        </w:tc>
        <w:tc>
          <w:tcPr>
            <w:tcW w:w="5912" w:type="dxa"/>
            <w:noWrap w:val="0"/>
            <w:vAlign w:val="center"/>
          </w:tcPr>
          <w:p>
            <w:pPr>
              <w:pStyle w:val="8"/>
              <w:spacing w:before="0" w:after="120" w:line="360" w:lineRule="auto"/>
              <w:jc w:val="both"/>
              <w:rPr>
                <w:rStyle w:val="12"/>
                <w:rFonts w:hint="eastAsia" w:ascii="宋体" w:hAnsi="宋体" w:eastAsia="宋体" w:cs="宋体"/>
                <w:sz w:val="18"/>
                <w:szCs w:val="18"/>
                <w:lang w:eastAsia="zh-CN"/>
              </w:rPr>
            </w:pPr>
            <w:r>
              <w:rPr>
                <w:rStyle w:val="12"/>
                <w:rFonts w:hint="eastAsia" w:ascii="宋体" w:hAnsi="宋体" w:eastAsia="宋体" w:cs="宋体"/>
                <w:sz w:val="18"/>
                <w:szCs w:val="18"/>
              </w:rPr>
              <w:t>停车场（库）车位小时周转率信息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8</w:t>
            </w:r>
          </w:p>
        </w:tc>
        <w:tc>
          <w:tcPr>
            <w:tcW w:w="5912" w:type="dxa"/>
            <w:noWrap w:val="0"/>
            <w:vAlign w:val="center"/>
          </w:tcPr>
          <w:p>
            <w:pPr>
              <w:pStyle w:val="8"/>
              <w:spacing w:before="0" w:after="120" w:line="360" w:lineRule="auto"/>
              <w:jc w:val="both"/>
              <w:rPr>
                <w:rStyle w:val="12"/>
                <w:rFonts w:hint="eastAsia" w:ascii="宋体" w:hAnsi="宋体" w:eastAsia="宋体" w:cs="宋体"/>
                <w:sz w:val="18"/>
                <w:szCs w:val="18"/>
                <w:lang w:eastAsia="zh-CN"/>
              </w:rPr>
            </w:pPr>
            <w:r>
              <w:rPr>
                <w:rStyle w:val="12"/>
                <w:rFonts w:hint="eastAsia" w:ascii="宋体" w:hAnsi="宋体" w:eastAsia="宋体" w:cs="宋体"/>
                <w:sz w:val="18"/>
                <w:szCs w:val="18"/>
              </w:rPr>
              <w:t>停车场（库）车辆停泊位置信息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9</w:t>
            </w:r>
          </w:p>
        </w:tc>
        <w:tc>
          <w:tcPr>
            <w:tcW w:w="5912" w:type="dxa"/>
            <w:noWrap w:val="0"/>
            <w:vAlign w:val="center"/>
          </w:tcPr>
          <w:p>
            <w:pPr>
              <w:pStyle w:val="8"/>
              <w:spacing w:before="0" w:after="120" w:line="360" w:lineRule="auto"/>
              <w:jc w:val="both"/>
              <w:rPr>
                <w:rStyle w:val="12"/>
                <w:rFonts w:hint="eastAsia" w:ascii="宋体" w:hAnsi="宋体" w:eastAsia="宋体" w:cs="宋体"/>
                <w:sz w:val="18"/>
                <w:szCs w:val="18"/>
                <w:lang w:eastAsia="zh-CN"/>
              </w:rPr>
            </w:pPr>
            <w:r>
              <w:rPr>
                <w:rStyle w:val="12"/>
                <w:rFonts w:hint="eastAsia" w:ascii="宋体" w:hAnsi="宋体" w:eastAsia="宋体" w:cs="宋体"/>
                <w:sz w:val="18"/>
                <w:szCs w:val="18"/>
              </w:rPr>
              <w:t>停车场（库）出入口拥堵排队信息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10</w:t>
            </w:r>
          </w:p>
        </w:tc>
        <w:tc>
          <w:tcPr>
            <w:tcW w:w="5912" w:type="dxa"/>
            <w:noWrap w:val="0"/>
            <w:vAlign w:val="center"/>
          </w:tcPr>
          <w:p>
            <w:pPr>
              <w:pStyle w:val="8"/>
              <w:spacing w:before="0" w:after="120" w:line="360" w:lineRule="auto"/>
              <w:jc w:val="both"/>
              <w:rPr>
                <w:rStyle w:val="12"/>
                <w:rFonts w:hint="eastAsia" w:ascii="宋体" w:hAnsi="宋体" w:eastAsia="宋体" w:cs="宋体"/>
                <w:sz w:val="18"/>
                <w:szCs w:val="18"/>
                <w:lang w:eastAsia="zh-CN"/>
              </w:rPr>
            </w:pPr>
            <w:r>
              <w:rPr>
                <w:rStyle w:val="12"/>
                <w:rFonts w:hint="eastAsia" w:ascii="宋体" w:hAnsi="宋体" w:eastAsia="宋体" w:cs="宋体"/>
                <w:sz w:val="18"/>
                <w:szCs w:val="18"/>
              </w:rPr>
              <w:t>停车场（库）实时进场车辆信息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11</w:t>
            </w:r>
          </w:p>
        </w:tc>
        <w:tc>
          <w:tcPr>
            <w:tcW w:w="5912" w:type="dxa"/>
            <w:noWrap w:val="0"/>
            <w:vAlign w:val="center"/>
          </w:tcPr>
          <w:p>
            <w:pPr>
              <w:pStyle w:val="8"/>
              <w:spacing w:before="0" w:after="120" w:line="360" w:lineRule="auto"/>
              <w:jc w:val="both"/>
              <w:rPr>
                <w:rStyle w:val="12"/>
                <w:rFonts w:hint="eastAsia" w:ascii="宋体" w:hAnsi="宋体" w:eastAsia="宋体" w:cs="宋体"/>
                <w:sz w:val="18"/>
                <w:szCs w:val="18"/>
                <w:lang w:eastAsia="zh-CN"/>
              </w:rPr>
            </w:pPr>
            <w:r>
              <w:rPr>
                <w:rStyle w:val="12"/>
                <w:rFonts w:hint="eastAsia" w:ascii="宋体" w:hAnsi="宋体" w:eastAsia="宋体" w:cs="宋体"/>
                <w:sz w:val="18"/>
                <w:szCs w:val="18"/>
              </w:rPr>
              <w:t>停车场（库）实时出场车辆订单信息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173" w:type="dxa"/>
            <w:noWrap w:val="0"/>
            <w:vAlign w:val="center"/>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12</w:t>
            </w:r>
          </w:p>
        </w:tc>
        <w:tc>
          <w:tcPr>
            <w:tcW w:w="5912" w:type="dxa"/>
            <w:noWrap w:val="0"/>
            <w:vAlign w:val="center"/>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停车场（库）数据统计报表信息</w:t>
            </w:r>
          </w:p>
        </w:tc>
      </w:tr>
    </w:tbl>
    <w:p>
      <w:pPr>
        <w:numPr>
          <w:ilvl w:val="0"/>
          <w:numId w:val="0"/>
        </w:numPr>
        <w:spacing w:line="360" w:lineRule="auto"/>
        <w:ind w:firstLine="420" w:firstLineChars="0"/>
        <w:rPr>
          <w:rFonts w:hint="eastAsia"/>
          <w:szCs w:val="24"/>
          <w:lang w:val="en-US" w:eastAsia="zh-CN"/>
        </w:rPr>
      </w:pPr>
      <w:r>
        <w:rPr>
          <w:rFonts w:hint="eastAsia"/>
          <w:szCs w:val="24"/>
          <w:lang w:val="en-US" w:eastAsia="zh-CN"/>
        </w:rPr>
        <w:t>信息共享与发布访问形式，应以授权数</w:t>
      </w:r>
      <w:r>
        <w:rPr>
          <w:rFonts w:hint="eastAsia" w:ascii="宋体" w:hAnsi="宋体" w:eastAsia="宋体" w:cs="宋体"/>
          <w:szCs w:val="24"/>
          <w:lang w:val="en-US" w:eastAsia="zh-CN"/>
        </w:rPr>
        <w:t>据访问API形式对外部提</w:t>
      </w:r>
      <w:r>
        <w:rPr>
          <w:rFonts w:hint="eastAsia"/>
          <w:szCs w:val="24"/>
          <w:lang w:val="en-US" w:eastAsia="zh-CN"/>
        </w:rPr>
        <w:t>供服务。</w:t>
      </w:r>
      <w:r>
        <w:rPr>
          <w:rFonts w:hint="eastAsia" w:ascii="宋体" w:hAnsi="宋体" w:eastAsia="宋体" w:cs="宋体"/>
          <w:szCs w:val="24"/>
          <w:lang w:val="en-US" w:eastAsia="zh-CN"/>
        </w:rPr>
        <w:t>在对API管理</w:t>
      </w:r>
      <w:r>
        <w:rPr>
          <w:rFonts w:hint="eastAsia"/>
          <w:szCs w:val="24"/>
          <w:lang w:val="en-US" w:eastAsia="zh-CN"/>
        </w:rPr>
        <w:t>方面应包括但不限于如下在线服务内容：</w:t>
      </w:r>
    </w:p>
    <w:p>
      <w:pPr>
        <w:pStyle w:val="30"/>
        <w:keepNext w:val="0"/>
        <w:keepLines w:val="0"/>
        <w:pageBreakBefore w:val="0"/>
        <w:widowControl/>
        <w:numPr>
          <w:ilvl w:val="0"/>
          <w:numId w:val="19"/>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信息发布与共享服务目录</w:t>
      </w:r>
      <w:r>
        <w:rPr>
          <w:rFonts w:hint="eastAsia"/>
          <w:szCs w:val="24"/>
          <w:lang w:eastAsia="zh-CN"/>
        </w:rPr>
        <w:t>：</w:t>
      </w:r>
      <w:r>
        <w:rPr>
          <w:rFonts w:hint="eastAsia"/>
          <w:szCs w:val="24"/>
        </w:rPr>
        <w:t>提供该平台对外开放的信息发布与共享服务内容说明，包括但不限于目录、内容及申请说明</w:t>
      </w:r>
      <w:r>
        <w:rPr>
          <w:rFonts w:hint="eastAsia"/>
          <w:szCs w:val="24"/>
          <w:lang w:eastAsia="zh-CN"/>
        </w:rPr>
        <w:t>：</w:t>
      </w:r>
    </w:p>
    <w:p>
      <w:pPr>
        <w:numPr>
          <w:ilvl w:val="0"/>
          <w:numId w:val="20"/>
        </w:numPr>
        <w:spacing w:line="360" w:lineRule="auto"/>
        <w:ind w:left="210" w:leftChars="0" w:firstLine="420" w:firstLineChars="0"/>
        <w:rPr>
          <w:rFonts w:hint="eastAsia"/>
          <w:szCs w:val="24"/>
        </w:rPr>
      </w:pPr>
      <w:r>
        <w:rPr>
          <w:rFonts w:hint="eastAsia"/>
          <w:szCs w:val="24"/>
        </w:rPr>
        <w:t>目录：对信息发布与共享内容的分类与项目的说明；</w:t>
      </w:r>
    </w:p>
    <w:p>
      <w:pPr>
        <w:numPr>
          <w:ilvl w:val="0"/>
          <w:numId w:val="20"/>
        </w:numPr>
        <w:spacing w:line="360" w:lineRule="auto"/>
        <w:ind w:left="210" w:leftChars="0" w:firstLine="420" w:firstLineChars="0"/>
        <w:rPr>
          <w:rFonts w:hint="eastAsia"/>
          <w:szCs w:val="24"/>
        </w:rPr>
      </w:pPr>
      <w:r>
        <w:rPr>
          <w:rFonts w:hint="eastAsia"/>
          <w:szCs w:val="24"/>
        </w:rPr>
        <w:t>内容：对信息发布与共享项目具体内容的介绍，包括但不限于信息发布的内容、更新周期</w:t>
      </w:r>
      <w:r>
        <w:rPr>
          <w:rFonts w:hint="eastAsia"/>
          <w:szCs w:val="24"/>
          <w:lang w:val="en-US" w:eastAsia="zh-CN"/>
        </w:rPr>
        <w:t>及</w:t>
      </w:r>
      <w:r>
        <w:rPr>
          <w:rFonts w:hint="eastAsia"/>
          <w:szCs w:val="24"/>
        </w:rPr>
        <w:t>推送或访问方式等</w:t>
      </w:r>
      <w:r>
        <w:rPr>
          <w:rFonts w:hint="eastAsia"/>
          <w:szCs w:val="24"/>
          <w:lang w:eastAsia="zh-CN"/>
        </w:rPr>
        <w:t>；</w:t>
      </w:r>
    </w:p>
    <w:p>
      <w:pPr>
        <w:numPr>
          <w:ilvl w:val="0"/>
          <w:numId w:val="20"/>
        </w:numPr>
        <w:spacing w:line="360" w:lineRule="auto"/>
        <w:ind w:left="210" w:leftChars="0" w:firstLine="420" w:firstLineChars="0"/>
        <w:rPr>
          <w:rFonts w:hint="eastAsia"/>
          <w:szCs w:val="24"/>
        </w:rPr>
      </w:pPr>
      <w:r>
        <w:rPr>
          <w:rFonts w:hint="eastAsia"/>
          <w:szCs w:val="24"/>
        </w:rPr>
        <w:t>申请说明：提供信息发布与共享服务申请条件与使用说明介绍。</w:t>
      </w:r>
    </w:p>
    <w:p>
      <w:pPr>
        <w:pStyle w:val="30"/>
        <w:keepNext w:val="0"/>
        <w:keepLines w:val="0"/>
        <w:pageBreakBefore w:val="0"/>
        <w:widowControl/>
        <w:numPr>
          <w:ilvl w:val="0"/>
          <w:numId w:val="19"/>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信息发布与共享在线申请</w:t>
      </w:r>
      <w:r>
        <w:rPr>
          <w:rFonts w:hint="eastAsia"/>
          <w:szCs w:val="24"/>
          <w:lang w:eastAsia="zh-CN"/>
        </w:rPr>
        <w:t>：</w:t>
      </w:r>
      <w:r>
        <w:rPr>
          <w:rFonts w:hint="eastAsia"/>
          <w:szCs w:val="24"/>
        </w:rPr>
        <w:t>提供该平台信息发布与共享服务在线申请填报功能。填报内容包括但不限于如下内容：</w:t>
      </w:r>
    </w:p>
    <w:p>
      <w:pPr>
        <w:numPr>
          <w:ilvl w:val="0"/>
          <w:numId w:val="21"/>
        </w:numPr>
        <w:spacing w:line="360" w:lineRule="auto"/>
        <w:ind w:left="210" w:leftChars="0" w:firstLine="420" w:firstLineChars="0"/>
        <w:rPr>
          <w:rFonts w:hint="eastAsia"/>
          <w:szCs w:val="24"/>
        </w:rPr>
      </w:pPr>
      <w:r>
        <w:rPr>
          <w:rFonts w:hint="eastAsia"/>
          <w:szCs w:val="24"/>
        </w:rPr>
        <w:t>申请人基本信息</w:t>
      </w:r>
      <w:r>
        <w:rPr>
          <w:rFonts w:hint="eastAsia"/>
          <w:szCs w:val="24"/>
          <w:lang w:eastAsia="zh-CN"/>
        </w:rPr>
        <w:t>：</w:t>
      </w:r>
      <w:r>
        <w:rPr>
          <w:rFonts w:hint="eastAsia"/>
          <w:szCs w:val="24"/>
          <w:lang w:val="en-US" w:eastAsia="zh-CN"/>
        </w:rPr>
        <w:t>具体内容详见表10；</w:t>
      </w:r>
    </w:p>
    <w:p>
      <w:pPr>
        <w:numPr>
          <w:ilvl w:val="0"/>
          <w:numId w:val="0"/>
        </w:numPr>
        <w:spacing w:line="360" w:lineRule="auto"/>
        <w:ind w:left="840" w:firstLine="0"/>
        <w:jc w:val="center"/>
        <w:rPr>
          <w:rFonts w:hint="eastAsia" w:ascii="黑体" w:hAnsi="黑体" w:eastAsia="黑体" w:cs="黑体"/>
          <w:szCs w:val="24"/>
        </w:rPr>
      </w:pPr>
      <w:r>
        <w:rPr>
          <w:rFonts w:hint="eastAsia" w:ascii="黑体" w:hAnsi="黑体" w:eastAsia="黑体" w:cs="黑体"/>
          <w:szCs w:val="24"/>
        </w:rPr>
        <w:t>表10申请人基本信息</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2289"/>
        <w:gridCol w:w="5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jc w:val="center"/>
              <w:textAlignment w:val="auto"/>
              <w:rPr>
                <w:rStyle w:val="12"/>
                <w:rFonts w:hint="eastAsia" w:ascii="宋体" w:hAnsi="宋体" w:eastAsia="宋体" w:cs="宋体"/>
                <w:kern w:val="0"/>
                <w:sz w:val="18"/>
                <w:szCs w:val="18"/>
                <w:lang w:val="en-US" w:eastAsia="zh-CN" w:bidi="ar"/>
              </w:rPr>
            </w:pPr>
            <w:r>
              <w:rPr>
                <w:rStyle w:val="12"/>
                <w:rFonts w:hint="eastAsia" w:ascii="宋体" w:hAnsi="宋体" w:eastAsia="宋体" w:cs="宋体"/>
                <w:kern w:val="0"/>
                <w:sz w:val="18"/>
                <w:szCs w:val="18"/>
                <w:lang w:val="en-US" w:eastAsia="zh-CN" w:bidi="ar"/>
              </w:rPr>
              <w:t>序号</w:t>
            </w:r>
          </w:p>
        </w:tc>
        <w:tc>
          <w:tcPr>
            <w:tcW w:w="2289"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jc w:val="center"/>
              <w:textAlignment w:val="auto"/>
              <w:rPr>
                <w:rStyle w:val="12"/>
                <w:rFonts w:hint="eastAsia" w:ascii="宋体" w:hAnsi="宋体" w:eastAsia="宋体" w:cs="宋体"/>
                <w:kern w:val="0"/>
                <w:sz w:val="18"/>
                <w:szCs w:val="18"/>
                <w:lang w:val="en-US" w:eastAsia="zh-CN" w:bidi="ar"/>
              </w:rPr>
            </w:pPr>
            <w:r>
              <w:rPr>
                <w:rStyle w:val="12"/>
                <w:rFonts w:hint="eastAsia" w:ascii="宋体" w:hAnsi="宋体" w:eastAsia="宋体" w:cs="宋体"/>
                <w:kern w:val="0"/>
                <w:sz w:val="18"/>
                <w:szCs w:val="18"/>
                <w:lang w:val="en-US" w:eastAsia="zh-CN" w:bidi="ar"/>
              </w:rPr>
              <w:t>信息项</w:t>
            </w:r>
          </w:p>
        </w:tc>
        <w:tc>
          <w:tcPr>
            <w:tcW w:w="5490"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jc w:val="center"/>
              <w:textAlignment w:val="auto"/>
              <w:rPr>
                <w:rStyle w:val="12"/>
                <w:rFonts w:hint="eastAsia" w:ascii="宋体" w:hAnsi="宋体" w:eastAsia="宋体" w:cs="宋体"/>
                <w:kern w:val="0"/>
                <w:sz w:val="18"/>
                <w:szCs w:val="18"/>
                <w:lang w:val="en-US" w:eastAsia="zh-CN" w:bidi="ar"/>
              </w:rPr>
            </w:pPr>
            <w:r>
              <w:rPr>
                <w:rStyle w:val="12"/>
                <w:rFonts w:hint="eastAsia" w:ascii="宋体" w:hAnsi="宋体" w:eastAsia="宋体" w:cs="宋体"/>
                <w:kern w:val="0"/>
                <w:sz w:val="18"/>
                <w:szCs w:val="18"/>
                <w:lang w:val="en-US" w:eastAsia="zh-CN" w:bidi="ar"/>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1</w:t>
            </w:r>
          </w:p>
        </w:tc>
        <w:tc>
          <w:tcPr>
            <w:tcW w:w="2289" w:type="dxa"/>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申请单位全程</w:t>
            </w:r>
          </w:p>
        </w:tc>
        <w:tc>
          <w:tcPr>
            <w:tcW w:w="5490" w:type="dxa"/>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申请单位全称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2</w:t>
            </w:r>
          </w:p>
        </w:tc>
        <w:tc>
          <w:tcPr>
            <w:tcW w:w="2289" w:type="dxa"/>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单位注册地址</w:t>
            </w:r>
          </w:p>
        </w:tc>
        <w:tc>
          <w:tcPr>
            <w:tcW w:w="5490" w:type="dxa"/>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申请单位注册地址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3</w:t>
            </w:r>
          </w:p>
        </w:tc>
        <w:tc>
          <w:tcPr>
            <w:tcW w:w="2289" w:type="dxa"/>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申请单位性质</w:t>
            </w:r>
          </w:p>
        </w:tc>
        <w:tc>
          <w:tcPr>
            <w:tcW w:w="5490" w:type="dxa"/>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申请单位性质类别，如政府机关、</w:t>
            </w:r>
            <w:r>
              <w:rPr>
                <w:rStyle w:val="12"/>
                <w:rFonts w:hint="eastAsia" w:ascii="宋体" w:hAnsi="宋体" w:cs="宋体"/>
                <w:sz w:val="18"/>
                <w:szCs w:val="18"/>
                <w:lang w:val="en-US" w:eastAsia="zh-CN"/>
              </w:rPr>
              <w:t>事业单位及</w:t>
            </w:r>
            <w:r>
              <w:rPr>
                <w:rStyle w:val="12"/>
                <w:rFonts w:hint="eastAsia" w:ascii="宋体" w:hAnsi="宋体" w:eastAsia="宋体" w:cs="宋体"/>
                <w:sz w:val="18"/>
                <w:szCs w:val="18"/>
              </w:rPr>
              <w:t>企业等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4</w:t>
            </w:r>
          </w:p>
        </w:tc>
        <w:tc>
          <w:tcPr>
            <w:tcW w:w="2289" w:type="dxa"/>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申请单位证照</w:t>
            </w:r>
          </w:p>
        </w:tc>
        <w:tc>
          <w:tcPr>
            <w:tcW w:w="5490" w:type="dxa"/>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申请单位有效证件附件，政府机关和事业单位提供法人证书，企业提供营业执照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5</w:t>
            </w:r>
          </w:p>
        </w:tc>
        <w:tc>
          <w:tcPr>
            <w:tcW w:w="2289" w:type="dxa"/>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申请单位联系电话</w:t>
            </w:r>
          </w:p>
        </w:tc>
        <w:tc>
          <w:tcPr>
            <w:tcW w:w="5490" w:type="dxa"/>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申请单位对外有效联系电话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6</w:t>
            </w:r>
          </w:p>
        </w:tc>
        <w:tc>
          <w:tcPr>
            <w:tcW w:w="2289" w:type="dxa"/>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申请单位联系人姓名</w:t>
            </w:r>
          </w:p>
        </w:tc>
        <w:tc>
          <w:tcPr>
            <w:tcW w:w="5490" w:type="dxa"/>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申请单位联系人姓名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7</w:t>
            </w:r>
          </w:p>
        </w:tc>
        <w:tc>
          <w:tcPr>
            <w:tcW w:w="2289" w:type="dxa"/>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申请单位联系人电话</w:t>
            </w:r>
          </w:p>
        </w:tc>
        <w:tc>
          <w:tcPr>
            <w:tcW w:w="5490" w:type="dxa"/>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申请单位联系人电话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8</w:t>
            </w:r>
          </w:p>
        </w:tc>
        <w:tc>
          <w:tcPr>
            <w:tcW w:w="2289" w:type="dxa"/>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申请单位联系人Email</w:t>
            </w:r>
          </w:p>
        </w:tc>
        <w:tc>
          <w:tcPr>
            <w:tcW w:w="5490" w:type="dxa"/>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申请单位联系人的Email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9</w:t>
            </w:r>
          </w:p>
        </w:tc>
        <w:tc>
          <w:tcPr>
            <w:tcW w:w="2289" w:type="dxa"/>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缴费银行名称</w:t>
            </w:r>
          </w:p>
        </w:tc>
        <w:tc>
          <w:tcPr>
            <w:tcW w:w="5490" w:type="dxa"/>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申请单位缴费账号开户行全称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10</w:t>
            </w:r>
          </w:p>
        </w:tc>
        <w:tc>
          <w:tcPr>
            <w:tcW w:w="2289" w:type="dxa"/>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缴费银行账号</w:t>
            </w:r>
          </w:p>
        </w:tc>
        <w:tc>
          <w:tcPr>
            <w:tcW w:w="5490" w:type="dxa"/>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申请单位缴费账号开户行账号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6" w:type="dxa"/>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11</w:t>
            </w:r>
          </w:p>
        </w:tc>
        <w:tc>
          <w:tcPr>
            <w:tcW w:w="2289" w:type="dxa"/>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申请理由</w:t>
            </w:r>
          </w:p>
        </w:tc>
        <w:tc>
          <w:tcPr>
            <w:tcW w:w="5490" w:type="dxa"/>
          </w:tcPr>
          <w:p>
            <w:pPr>
              <w:pStyle w:val="8"/>
              <w:spacing w:before="0" w:after="120" w:line="360" w:lineRule="auto"/>
              <w:jc w:val="both"/>
              <w:rPr>
                <w:rStyle w:val="12"/>
                <w:rFonts w:hint="eastAsia" w:ascii="宋体" w:hAnsi="宋体" w:eastAsia="宋体" w:cs="宋体"/>
                <w:sz w:val="18"/>
                <w:szCs w:val="18"/>
              </w:rPr>
            </w:pPr>
            <w:r>
              <w:rPr>
                <w:rStyle w:val="12"/>
                <w:rFonts w:hint="eastAsia" w:ascii="宋体" w:hAnsi="宋体" w:eastAsia="宋体" w:cs="宋体"/>
                <w:sz w:val="18"/>
                <w:szCs w:val="18"/>
              </w:rPr>
              <w:t>申请服务理由说明</w:t>
            </w:r>
          </w:p>
        </w:tc>
      </w:tr>
    </w:tbl>
    <w:p>
      <w:pPr>
        <w:numPr>
          <w:ilvl w:val="0"/>
          <w:numId w:val="0"/>
        </w:numPr>
        <w:spacing w:line="360" w:lineRule="auto"/>
        <w:ind w:left="840" w:firstLine="0"/>
        <w:rPr>
          <w:rFonts w:hint="eastAsia"/>
          <w:szCs w:val="24"/>
        </w:rPr>
      </w:pPr>
    </w:p>
    <w:p>
      <w:pPr>
        <w:numPr>
          <w:ilvl w:val="0"/>
          <w:numId w:val="21"/>
        </w:numPr>
        <w:spacing w:line="360" w:lineRule="auto"/>
        <w:ind w:left="210" w:leftChars="0" w:firstLine="420" w:firstLineChars="0"/>
        <w:rPr>
          <w:rFonts w:hint="eastAsia"/>
          <w:szCs w:val="24"/>
        </w:rPr>
      </w:pPr>
      <w:r>
        <w:rPr>
          <w:rFonts w:hint="eastAsia"/>
          <w:szCs w:val="24"/>
        </w:rPr>
        <w:t>申请服务内容</w:t>
      </w:r>
      <w:r>
        <w:rPr>
          <w:rFonts w:hint="eastAsia"/>
          <w:szCs w:val="24"/>
          <w:lang w:eastAsia="zh-CN"/>
        </w:rPr>
        <w:t>：</w:t>
      </w:r>
      <w:r>
        <w:rPr>
          <w:rFonts w:hint="eastAsia"/>
          <w:szCs w:val="24"/>
        </w:rPr>
        <w:t>提供在线形式选择所需信息服务项目。</w:t>
      </w:r>
    </w:p>
    <w:p>
      <w:pPr>
        <w:pStyle w:val="30"/>
        <w:keepNext w:val="0"/>
        <w:keepLines w:val="0"/>
        <w:pageBreakBefore w:val="0"/>
        <w:widowControl/>
        <w:numPr>
          <w:ilvl w:val="0"/>
          <w:numId w:val="19"/>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Cs w:val="24"/>
        </w:rPr>
      </w:pPr>
      <w:r>
        <w:rPr>
          <w:rFonts w:hint="eastAsia"/>
          <w:szCs w:val="24"/>
        </w:rPr>
        <w:t>信息发布与共享申请审批</w:t>
      </w:r>
      <w:r>
        <w:rPr>
          <w:rFonts w:hint="eastAsia"/>
          <w:szCs w:val="24"/>
          <w:lang w:eastAsia="zh-CN"/>
        </w:rPr>
        <w:t>：</w:t>
      </w:r>
      <w:r>
        <w:rPr>
          <w:rFonts w:hint="eastAsia" w:ascii="宋体" w:hAnsi="宋体" w:eastAsia="宋体" w:cs="宋体"/>
          <w:szCs w:val="24"/>
        </w:rPr>
        <w:t>提供面向辽宁</w:t>
      </w:r>
      <w:r>
        <w:rPr>
          <w:rFonts w:hint="eastAsia" w:ascii="宋体" w:hAnsi="宋体" w:cs="宋体"/>
          <w:szCs w:val="24"/>
          <w:lang w:eastAsia="zh-CN"/>
        </w:rPr>
        <w:t>高速ETC智慧停车场</w:t>
      </w:r>
      <w:r>
        <w:rPr>
          <w:rFonts w:hint="eastAsia" w:ascii="宋体" w:hAnsi="宋体" w:eastAsia="宋体" w:cs="宋体"/>
          <w:szCs w:val="24"/>
        </w:rPr>
        <w:t>业务管理人员，对该平台信息发布与共享服务申请的审批管理服务。基于申请者提交的申请信息，根据业务评价条例与申请者身份核实，提供分级审批操作，并留痕每级节点审批信息与最终结果，提供对审批中状态的实时查询，与审批结束信息历史查询功能。审批内容：申请者提交申请信息。审批方式：支持多级在线自定义审批流程</w:t>
      </w:r>
      <w:r>
        <w:rPr>
          <w:rFonts w:hint="eastAsia" w:hAnsi="宋体" w:cs="宋体"/>
          <w:szCs w:val="24"/>
          <w:lang w:eastAsia="zh-CN"/>
        </w:rPr>
        <w:t>；</w:t>
      </w:r>
    </w:p>
    <w:p>
      <w:pPr>
        <w:pStyle w:val="30"/>
        <w:keepNext w:val="0"/>
        <w:keepLines w:val="0"/>
        <w:pageBreakBefore w:val="0"/>
        <w:widowControl/>
        <w:numPr>
          <w:ilvl w:val="0"/>
          <w:numId w:val="19"/>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信息发布与共享申请结果反馈</w:t>
      </w:r>
      <w:r>
        <w:rPr>
          <w:rFonts w:hint="eastAsia"/>
          <w:szCs w:val="24"/>
          <w:lang w:eastAsia="zh-CN"/>
        </w:rPr>
        <w:t>：</w:t>
      </w:r>
      <w:r>
        <w:rPr>
          <w:rFonts w:hint="eastAsia" w:ascii="宋体" w:hAnsi="宋体" w:eastAsia="宋体" w:cs="宋体"/>
          <w:szCs w:val="24"/>
        </w:rPr>
        <w:t>提供对该平台的信息发布与共享申请结果反馈服务。申请结果通过后，系统将基于API访问授权密钥生成规则（该规则系统参数可配）生成电子密钥（该密钥有效期默认为6个月，到期后系统将提前1个月给予提醒更换）。以电子邮件形式将API授权访问密钥发送给申请者。申请结果未通过，系统将以短信或邮件的形式，发送申请者并告知审批结果与原因</w:t>
      </w:r>
      <w:r>
        <w:rPr>
          <w:rFonts w:hint="eastAsia" w:hAnsi="宋体" w:cs="宋体"/>
          <w:szCs w:val="24"/>
          <w:lang w:eastAsia="zh-CN"/>
        </w:rPr>
        <w:t>；</w:t>
      </w:r>
    </w:p>
    <w:p>
      <w:pPr>
        <w:pStyle w:val="30"/>
        <w:keepNext w:val="0"/>
        <w:keepLines w:val="0"/>
        <w:pageBreakBefore w:val="0"/>
        <w:widowControl/>
        <w:numPr>
          <w:ilvl w:val="0"/>
          <w:numId w:val="19"/>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信息发布与共享API访问监控</w:t>
      </w:r>
      <w:r>
        <w:rPr>
          <w:rFonts w:hint="eastAsia"/>
          <w:szCs w:val="24"/>
          <w:lang w:eastAsia="zh-CN"/>
        </w:rPr>
        <w:t>：</w:t>
      </w:r>
      <w:r>
        <w:rPr>
          <w:rFonts w:hint="eastAsia"/>
          <w:szCs w:val="24"/>
        </w:rPr>
        <w:t>提供对该平台信息</w:t>
      </w:r>
      <w:r>
        <w:rPr>
          <w:rFonts w:hint="eastAsia" w:ascii="宋体" w:hAnsi="宋体" w:eastAsia="宋体" w:cs="宋体"/>
          <w:szCs w:val="24"/>
        </w:rPr>
        <w:t>发布与共享的API的监控管理</w:t>
      </w:r>
      <w:r>
        <w:rPr>
          <w:rFonts w:hint="eastAsia"/>
          <w:szCs w:val="24"/>
        </w:rPr>
        <w:t>。监控内容包括但不限于如下内容：</w:t>
      </w:r>
    </w:p>
    <w:p>
      <w:pPr>
        <w:numPr>
          <w:ilvl w:val="0"/>
          <w:numId w:val="22"/>
        </w:numPr>
        <w:spacing w:line="360" w:lineRule="auto"/>
        <w:ind w:left="210" w:leftChars="0" w:firstLine="420" w:firstLineChars="0"/>
        <w:rPr>
          <w:rFonts w:hint="eastAsia"/>
          <w:szCs w:val="24"/>
        </w:rPr>
      </w:pPr>
      <w:r>
        <w:rPr>
          <w:rFonts w:hint="eastAsia" w:ascii="宋体" w:hAnsi="宋体" w:eastAsia="宋体" w:cs="宋体"/>
          <w:szCs w:val="24"/>
        </w:rPr>
        <w:t>API授权分发情况监控</w:t>
      </w:r>
      <w:r>
        <w:rPr>
          <w:rFonts w:hint="eastAsia" w:ascii="宋体" w:hAnsi="宋体" w:cs="宋体"/>
          <w:szCs w:val="24"/>
          <w:lang w:eastAsia="zh-CN"/>
        </w:rPr>
        <w:t>：</w:t>
      </w:r>
      <w:r>
        <w:rPr>
          <w:rFonts w:hint="eastAsia"/>
          <w:szCs w:val="24"/>
        </w:rPr>
        <w:t>提供监控信息发布</w:t>
      </w:r>
      <w:r>
        <w:rPr>
          <w:rFonts w:hint="eastAsia" w:ascii="宋体" w:hAnsi="宋体" w:eastAsia="宋体" w:cs="宋体"/>
          <w:szCs w:val="24"/>
        </w:rPr>
        <w:t>与共享API授权分</w:t>
      </w:r>
      <w:r>
        <w:rPr>
          <w:rFonts w:hint="eastAsia"/>
          <w:szCs w:val="24"/>
        </w:rPr>
        <w:t>发情况监控，包括但不</w:t>
      </w:r>
      <w:r>
        <w:rPr>
          <w:rFonts w:hint="eastAsia" w:ascii="宋体" w:hAnsi="宋体" w:eastAsia="宋体" w:cs="宋体"/>
          <w:szCs w:val="24"/>
        </w:rPr>
        <w:t>限于对API当前已经授权</w:t>
      </w:r>
      <w:r>
        <w:rPr>
          <w:rFonts w:hint="eastAsia"/>
          <w:szCs w:val="24"/>
        </w:rPr>
        <w:t>对象、申请审批中、申请审批驳回、申请审批通过</w:t>
      </w:r>
      <w:r>
        <w:rPr>
          <w:rFonts w:hint="eastAsia"/>
          <w:szCs w:val="24"/>
          <w:lang w:val="en-US" w:eastAsia="zh-CN"/>
        </w:rPr>
        <w:t>及</w:t>
      </w:r>
      <w:r>
        <w:rPr>
          <w:rFonts w:hint="eastAsia"/>
          <w:szCs w:val="24"/>
        </w:rPr>
        <w:t>访问密钥剩余有效期等信息监控</w:t>
      </w:r>
      <w:r>
        <w:rPr>
          <w:rFonts w:hint="eastAsia"/>
          <w:szCs w:val="24"/>
          <w:lang w:eastAsia="zh-CN"/>
        </w:rPr>
        <w:t>；</w:t>
      </w:r>
    </w:p>
    <w:p>
      <w:pPr>
        <w:numPr>
          <w:ilvl w:val="0"/>
          <w:numId w:val="22"/>
        </w:numPr>
        <w:spacing w:line="360" w:lineRule="auto"/>
        <w:ind w:left="210" w:leftChars="0" w:firstLine="420" w:firstLineChars="0"/>
        <w:rPr>
          <w:rFonts w:hint="eastAsia" w:ascii="宋体" w:hAnsi="宋体" w:eastAsia="宋体" w:cs="宋体"/>
          <w:szCs w:val="24"/>
        </w:rPr>
      </w:pPr>
      <w:r>
        <w:rPr>
          <w:rFonts w:hint="eastAsia" w:ascii="宋体" w:hAnsi="宋体" w:eastAsia="宋体" w:cs="宋体"/>
          <w:szCs w:val="24"/>
        </w:rPr>
        <w:t>信息发布API推送情况监控</w:t>
      </w:r>
      <w:r>
        <w:rPr>
          <w:rFonts w:hint="eastAsia" w:ascii="宋体" w:hAnsi="宋体" w:cs="宋体"/>
          <w:szCs w:val="24"/>
          <w:lang w:eastAsia="zh-CN"/>
        </w:rPr>
        <w:t>：</w:t>
      </w:r>
      <w:r>
        <w:rPr>
          <w:rFonts w:hint="eastAsia" w:ascii="宋体" w:hAnsi="宋体" w:eastAsia="宋体" w:cs="宋体"/>
          <w:szCs w:val="24"/>
        </w:rPr>
        <w:t>提供监控信息发布API推送情况的监控，包括但不限于推送API推送信息频次、高峰时段、数据量、数据条数、推送对象</w:t>
      </w:r>
      <w:r>
        <w:rPr>
          <w:rFonts w:hint="eastAsia" w:ascii="宋体" w:hAnsi="宋体" w:cs="宋体"/>
          <w:szCs w:val="24"/>
          <w:lang w:val="en-US" w:eastAsia="zh-CN"/>
        </w:rPr>
        <w:t>及</w:t>
      </w:r>
      <w:r>
        <w:rPr>
          <w:rFonts w:hint="eastAsia" w:ascii="宋体" w:hAnsi="宋体" w:eastAsia="宋体" w:cs="宋体"/>
          <w:szCs w:val="24"/>
        </w:rPr>
        <w:t>推送成功与失败详情等</w:t>
      </w:r>
      <w:r>
        <w:rPr>
          <w:rFonts w:hint="eastAsia" w:ascii="宋体" w:hAnsi="宋体" w:cs="宋体"/>
          <w:szCs w:val="24"/>
          <w:lang w:eastAsia="zh-CN"/>
        </w:rPr>
        <w:t>；</w:t>
      </w:r>
    </w:p>
    <w:p>
      <w:pPr>
        <w:numPr>
          <w:ilvl w:val="0"/>
          <w:numId w:val="22"/>
        </w:numPr>
        <w:spacing w:line="360" w:lineRule="auto"/>
        <w:ind w:left="210" w:leftChars="0" w:firstLine="420" w:firstLineChars="0"/>
        <w:rPr>
          <w:rFonts w:hint="eastAsia" w:ascii="宋体" w:hAnsi="宋体" w:eastAsia="宋体" w:cs="宋体"/>
          <w:szCs w:val="24"/>
        </w:rPr>
      </w:pPr>
      <w:r>
        <w:rPr>
          <w:rFonts w:hint="eastAsia" w:ascii="宋体" w:hAnsi="宋体" w:eastAsia="宋体" w:cs="宋体"/>
          <w:szCs w:val="24"/>
        </w:rPr>
        <w:t>信息共享API访问情况监控</w:t>
      </w:r>
      <w:r>
        <w:rPr>
          <w:rFonts w:hint="eastAsia" w:ascii="宋体" w:hAnsi="宋体" w:cs="宋体"/>
          <w:szCs w:val="24"/>
          <w:lang w:eastAsia="zh-CN"/>
        </w:rPr>
        <w:t>：</w:t>
      </w:r>
      <w:r>
        <w:rPr>
          <w:rFonts w:hint="eastAsia" w:ascii="宋体" w:hAnsi="宋体" w:eastAsia="宋体" w:cs="宋体"/>
          <w:szCs w:val="24"/>
        </w:rPr>
        <w:t>提供信息共享API访问情况的监控，包括但不限于数据共享API调用频次、高峰时段、数据量、数据条数、访问对象</w:t>
      </w:r>
      <w:r>
        <w:rPr>
          <w:rFonts w:hint="eastAsia" w:ascii="宋体" w:hAnsi="宋体" w:cs="宋体"/>
          <w:szCs w:val="24"/>
          <w:lang w:val="en-US" w:eastAsia="zh-CN"/>
        </w:rPr>
        <w:t>及</w:t>
      </w:r>
      <w:r>
        <w:rPr>
          <w:rFonts w:hint="eastAsia" w:ascii="宋体" w:hAnsi="宋体" w:eastAsia="宋体" w:cs="宋体"/>
          <w:szCs w:val="24"/>
        </w:rPr>
        <w:t>调用成功与失败详情等</w:t>
      </w:r>
      <w:r>
        <w:rPr>
          <w:rFonts w:hint="eastAsia" w:ascii="宋体" w:hAnsi="宋体" w:cs="宋体"/>
          <w:szCs w:val="24"/>
          <w:lang w:eastAsia="zh-CN"/>
        </w:rPr>
        <w:t>；</w:t>
      </w:r>
    </w:p>
    <w:p>
      <w:pPr>
        <w:numPr>
          <w:ilvl w:val="0"/>
          <w:numId w:val="22"/>
        </w:numPr>
        <w:spacing w:line="360" w:lineRule="auto"/>
        <w:ind w:left="210" w:leftChars="0" w:firstLine="420" w:firstLineChars="0"/>
        <w:rPr>
          <w:rFonts w:hint="eastAsia" w:ascii="宋体" w:hAnsi="宋体" w:eastAsia="宋体" w:cs="宋体"/>
          <w:szCs w:val="24"/>
        </w:rPr>
      </w:pPr>
      <w:r>
        <w:rPr>
          <w:rFonts w:hint="eastAsia" w:ascii="宋体" w:hAnsi="宋体" w:eastAsia="宋体" w:cs="宋体"/>
          <w:szCs w:val="24"/>
        </w:rPr>
        <w:t>API状态提醒与回收</w:t>
      </w:r>
      <w:r>
        <w:rPr>
          <w:rFonts w:hint="eastAsia" w:ascii="宋体" w:hAnsi="宋体" w:cs="宋体"/>
          <w:szCs w:val="24"/>
          <w:lang w:eastAsia="zh-CN"/>
        </w:rPr>
        <w:t>：</w:t>
      </w:r>
      <w:r>
        <w:rPr>
          <w:rFonts w:hint="eastAsia" w:ascii="宋体" w:hAnsi="宋体" w:eastAsia="宋体" w:cs="宋体"/>
          <w:szCs w:val="24"/>
        </w:rPr>
        <w:t>提供API异常情况提醒：基于系统业务规则配置（API推送和调用的成功与失败事件发生比例、失败事件累计次数或持续时长），以邮件形式向API使用者发送异常情况报告，用于及时修正问题。提供API授权到期提醒：基于系统业务规则配置，以邮件形式向API使用者发送到期提醒。提供API授权到期回收：系统自动收回已到期API授权访问权限，原使用者将不能使用本平台的信息发布与共享API服务。</w:t>
      </w:r>
    </w:p>
    <w:p>
      <w:pPr>
        <w:pStyle w:val="32"/>
        <w:spacing w:before="312" w:after="312" w:line="360" w:lineRule="auto"/>
        <w:rPr>
          <w:rFonts w:hint="eastAsia"/>
          <w:szCs w:val="22"/>
          <w:lang w:val="en-US" w:eastAsia="zh-CN"/>
        </w:rPr>
      </w:pPr>
      <w:bookmarkStart w:id="115" w:name="_Toc13448"/>
      <w:r>
        <w:rPr>
          <w:rFonts w:hint="eastAsia"/>
          <w:szCs w:val="22"/>
          <w:lang w:val="en-US" w:eastAsia="zh-CN"/>
        </w:rPr>
        <w:t>技术路线要求</w:t>
      </w:r>
      <w:bookmarkEnd w:id="115"/>
    </w:p>
    <w:p>
      <w:pPr>
        <w:pStyle w:val="33"/>
        <w:spacing w:before="156" w:after="156" w:line="360" w:lineRule="auto"/>
        <w:rPr>
          <w:rFonts w:hint="eastAsia"/>
          <w:szCs w:val="24"/>
        </w:rPr>
      </w:pPr>
      <w:bookmarkStart w:id="116" w:name="_Toc10595"/>
      <w:r>
        <w:rPr>
          <w:rFonts w:hint="eastAsia"/>
          <w:szCs w:val="24"/>
        </w:rPr>
        <w:t>云计算技术应用</w:t>
      </w:r>
      <w:bookmarkEnd w:id="116"/>
    </w:p>
    <w:p>
      <w:pPr>
        <w:numPr>
          <w:ilvl w:val="0"/>
          <w:numId w:val="0"/>
        </w:numPr>
        <w:spacing w:line="360" w:lineRule="auto"/>
        <w:ind w:firstLine="420" w:firstLineChars="0"/>
        <w:rPr>
          <w:rFonts w:hint="eastAsia" w:ascii="宋体" w:hAnsi="宋体" w:eastAsia="宋体" w:cs="宋体"/>
          <w:szCs w:val="24"/>
        </w:rPr>
      </w:pPr>
      <w:r>
        <w:rPr>
          <w:rFonts w:hint="eastAsia" w:ascii="宋体" w:hAnsi="宋体" w:eastAsia="宋体" w:cs="宋体"/>
          <w:szCs w:val="24"/>
        </w:rPr>
        <w:t>云计算技术通过将传统基础架构转变成虚拟基础架构，将服务器、存储</w:t>
      </w:r>
      <w:r>
        <w:rPr>
          <w:rFonts w:hint="eastAsia" w:ascii="宋体" w:hAnsi="宋体" w:cs="宋体"/>
          <w:szCs w:val="24"/>
          <w:lang w:val="en-US" w:eastAsia="zh-CN"/>
        </w:rPr>
        <w:t>及</w:t>
      </w:r>
      <w:r>
        <w:rPr>
          <w:rFonts w:hint="eastAsia" w:ascii="宋体" w:hAnsi="宋体" w:eastAsia="宋体" w:cs="宋体"/>
          <w:szCs w:val="24"/>
        </w:rPr>
        <w:t>网络等硬件设备抽象成了计算、存储</w:t>
      </w:r>
      <w:r>
        <w:rPr>
          <w:rFonts w:hint="eastAsia" w:ascii="宋体" w:hAnsi="宋体" w:cs="宋体"/>
          <w:szCs w:val="24"/>
          <w:lang w:val="en-US" w:eastAsia="zh-CN"/>
        </w:rPr>
        <w:t>及</w:t>
      </w:r>
      <w:r>
        <w:rPr>
          <w:rFonts w:hint="eastAsia" w:ascii="宋体" w:hAnsi="宋体" w:eastAsia="宋体" w:cs="宋体"/>
          <w:szCs w:val="24"/>
        </w:rPr>
        <w:t>网络等资源并进行了池化，然后基于资源池将结构完整、安全可控</w:t>
      </w:r>
      <w:r>
        <w:rPr>
          <w:rFonts w:hint="eastAsia" w:ascii="宋体" w:hAnsi="宋体" w:cs="宋体"/>
          <w:szCs w:val="24"/>
          <w:lang w:val="en-US" w:eastAsia="zh-CN"/>
        </w:rPr>
        <w:t>及</w:t>
      </w:r>
      <w:r>
        <w:rPr>
          <w:rFonts w:hint="eastAsia" w:ascii="宋体" w:hAnsi="宋体" w:eastAsia="宋体" w:cs="宋体"/>
          <w:szCs w:val="24"/>
        </w:rPr>
        <w:t>逻辑隔离的虚拟数据中心交付给各个云上应用，并根据各类停车应用的不同资源需求，分配物理计算资源、虚拟机级别计算资源、存储资源</w:t>
      </w:r>
      <w:r>
        <w:rPr>
          <w:rFonts w:hint="eastAsia" w:ascii="宋体" w:hAnsi="宋体" w:cs="宋体"/>
          <w:szCs w:val="24"/>
          <w:lang w:val="en-US" w:eastAsia="zh-CN"/>
        </w:rPr>
        <w:t>及</w:t>
      </w:r>
      <w:r>
        <w:rPr>
          <w:rFonts w:hint="eastAsia" w:ascii="宋体" w:hAnsi="宋体" w:eastAsia="宋体" w:cs="宋体"/>
          <w:szCs w:val="24"/>
        </w:rPr>
        <w:t>网络资源等各类资源。实现标准统一、功能完善、系统稳定、安全可靠</w:t>
      </w:r>
      <w:r>
        <w:rPr>
          <w:rFonts w:hint="eastAsia" w:ascii="宋体" w:hAnsi="宋体" w:cs="宋体"/>
          <w:szCs w:val="24"/>
          <w:lang w:val="en-US" w:eastAsia="zh-CN"/>
        </w:rPr>
        <w:t>且</w:t>
      </w:r>
      <w:r>
        <w:rPr>
          <w:rFonts w:hint="eastAsia" w:ascii="宋体" w:hAnsi="宋体" w:eastAsia="宋体" w:cs="宋体"/>
          <w:szCs w:val="24"/>
        </w:rPr>
        <w:t>集中统一的开放式、可扩展的基础计算、存储和网络的基础支撑环境。云计算技术的核心在于各种资源的虚拟化、服务化及管理，主要包括以下几个方面：</w:t>
      </w:r>
    </w:p>
    <w:p>
      <w:pPr>
        <w:pStyle w:val="30"/>
        <w:keepNext w:val="0"/>
        <w:keepLines w:val="0"/>
        <w:pageBreakBefore w:val="0"/>
        <w:widowControl/>
        <w:numPr>
          <w:ilvl w:val="0"/>
          <w:numId w:val="23"/>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Cs w:val="24"/>
        </w:rPr>
      </w:pPr>
      <w:r>
        <w:rPr>
          <w:rFonts w:hint="eastAsia" w:ascii="宋体" w:hAnsi="宋体" w:eastAsia="宋体" w:cs="宋体"/>
          <w:szCs w:val="24"/>
        </w:rPr>
        <w:t>计算虚拟化</w:t>
      </w:r>
      <w:r>
        <w:rPr>
          <w:rFonts w:hint="eastAsia" w:hAnsi="宋体" w:cs="宋体"/>
          <w:szCs w:val="24"/>
          <w:lang w:eastAsia="zh-CN"/>
        </w:rPr>
        <w:t>：</w:t>
      </w:r>
      <w:r>
        <w:rPr>
          <w:rFonts w:hint="eastAsia" w:ascii="宋体" w:hAnsi="宋体" w:eastAsia="宋体" w:cs="宋体"/>
          <w:szCs w:val="24"/>
        </w:rPr>
        <w:t>使用虚拟化技术将物理CPU、内存等虚拟化成逻辑资源，并提供弹性扩展、动态分配等特性，构建按需获取的计算资源池。计算资源可以根据性能、地区</w:t>
      </w:r>
      <w:r>
        <w:rPr>
          <w:rFonts w:hint="eastAsia" w:hAnsi="宋体" w:cs="宋体"/>
          <w:szCs w:val="24"/>
          <w:lang w:val="en-US" w:eastAsia="zh-CN"/>
        </w:rPr>
        <w:t>及</w:t>
      </w:r>
      <w:r>
        <w:rPr>
          <w:rFonts w:hint="eastAsia" w:ascii="宋体" w:hAnsi="宋体" w:eastAsia="宋体" w:cs="宋体"/>
          <w:szCs w:val="24"/>
        </w:rPr>
        <w:t>时间需求，分布在各中心节点</w:t>
      </w:r>
      <w:r>
        <w:rPr>
          <w:rFonts w:hint="eastAsia" w:hAnsi="宋体" w:cs="宋体"/>
          <w:szCs w:val="24"/>
          <w:lang w:eastAsia="zh-CN"/>
        </w:rPr>
        <w:t>；</w:t>
      </w:r>
    </w:p>
    <w:p>
      <w:pPr>
        <w:pStyle w:val="30"/>
        <w:keepNext w:val="0"/>
        <w:keepLines w:val="0"/>
        <w:pageBreakBefore w:val="0"/>
        <w:widowControl/>
        <w:numPr>
          <w:ilvl w:val="0"/>
          <w:numId w:val="23"/>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Cs w:val="24"/>
        </w:rPr>
      </w:pPr>
      <w:r>
        <w:rPr>
          <w:rFonts w:hint="eastAsia" w:ascii="宋体" w:hAnsi="宋体" w:eastAsia="宋体" w:cs="宋体"/>
          <w:szCs w:val="24"/>
        </w:rPr>
        <w:t>存储虚拟化</w:t>
      </w:r>
      <w:r>
        <w:rPr>
          <w:rFonts w:hint="eastAsia" w:hAnsi="宋体" w:cs="宋体"/>
          <w:szCs w:val="24"/>
          <w:lang w:eastAsia="zh-CN"/>
        </w:rPr>
        <w:t>：</w:t>
      </w:r>
      <w:r>
        <w:rPr>
          <w:rFonts w:hint="eastAsia" w:ascii="宋体" w:hAnsi="宋体" w:eastAsia="宋体" w:cs="宋体"/>
          <w:szCs w:val="24"/>
        </w:rPr>
        <w:t>支持将分散在不同物理服务器上的硬盘空间虚拟化成统一的云存储空间，并能对外提供多种形式的存储服务。可以根据性能、地区</w:t>
      </w:r>
      <w:r>
        <w:rPr>
          <w:rFonts w:hint="eastAsia" w:hAnsi="宋体" w:cs="宋体"/>
          <w:szCs w:val="24"/>
          <w:lang w:val="en-US" w:eastAsia="zh-CN"/>
        </w:rPr>
        <w:t>及</w:t>
      </w:r>
      <w:r>
        <w:rPr>
          <w:rFonts w:hint="eastAsia" w:ascii="宋体" w:hAnsi="宋体" w:eastAsia="宋体" w:cs="宋体"/>
          <w:szCs w:val="24"/>
        </w:rPr>
        <w:t>时间需求，调度各中心节点的存储资源；存储虚拟化技术可以在三个不同层面上实现，根据不同的实现方式主要有三种类型：基于主机的存储虚拟化、基于存储设备的存储虚拟化</w:t>
      </w:r>
      <w:r>
        <w:rPr>
          <w:rFonts w:hint="eastAsia" w:hAnsi="宋体" w:cs="宋体"/>
          <w:szCs w:val="24"/>
          <w:lang w:val="en-US" w:eastAsia="zh-CN"/>
        </w:rPr>
        <w:t>及</w:t>
      </w:r>
      <w:r>
        <w:rPr>
          <w:rFonts w:hint="eastAsia" w:ascii="宋体" w:hAnsi="宋体" w:eastAsia="宋体" w:cs="宋体"/>
          <w:szCs w:val="24"/>
        </w:rPr>
        <w:t>基于网络的存储虚拟化</w:t>
      </w:r>
      <w:r>
        <w:rPr>
          <w:rFonts w:hint="eastAsia" w:hAnsi="宋体" w:cs="宋体"/>
          <w:szCs w:val="24"/>
          <w:lang w:eastAsia="zh-CN"/>
        </w:rPr>
        <w:t>；</w:t>
      </w:r>
    </w:p>
    <w:p>
      <w:pPr>
        <w:pStyle w:val="30"/>
        <w:keepNext w:val="0"/>
        <w:keepLines w:val="0"/>
        <w:pageBreakBefore w:val="0"/>
        <w:widowControl/>
        <w:numPr>
          <w:ilvl w:val="0"/>
          <w:numId w:val="23"/>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Cs w:val="24"/>
        </w:rPr>
      </w:pPr>
      <w:r>
        <w:rPr>
          <w:rFonts w:hint="eastAsia" w:ascii="宋体" w:hAnsi="宋体" w:eastAsia="宋体" w:cs="宋体"/>
          <w:szCs w:val="24"/>
        </w:rPr>
        <w:t>网络虚拟化</w:t>
      </w:r>
      <w:r>
        <w:rPr>
          <w:rFonts w:hint="eastAsia" w:hAnsi="宋体" w:cs="宋体"/>
          <w:szCs w:val="24"/>
          <w:lang w:eastAsia="zh-CN"/>
        </w:rPr>
        <w:t>：</w:t>
      </w:r>
      <w:r>
        <w:rPr>
          <w:rFonts w:hint="eastAsia" w:ascii="宋体" w:hAnsi="宋体" w:eastAsia="宋体" w:cs="宋体"/>
          <w:szCs w:val="24"/>
        </w:rPr>
        <w:t>支持网络交换设备、网络路由设备</w:t>
      </w:r>
      <w:r>
        <w:rPr>
          <w:rFonts w:hint="eastAsia" w:hAnsi="宋体" w:cs="宋体"/>
          <w:szCs w:val="24"/>
          <w:lang w:val="en-US" w:eastAsia="zh-CN"/>
        </w:rPr>
        <w:t>及</w:t>
      </w:r>
      <w:r>
        <w:rPr>
          <w:rFonts w:hint="eastAsia" w:ascii="宋体" w:hAnsi="宋体" w:eastAsia="宋体" w:cs="宋体"/>
          <w:szCs w:val="24"/>
        </w:rPr>
        <w:t>网络安全设备的虚拟化和动态配置，支持SDN/NV/NFV动态部署和调整应用网络架构，网络资源可以根据性能、地区</w:t>
      </w:r>
      <w:r>
        <w:rPr>
          <w:rFonts w:hint="eastAsia" w:hAnsi="宋体" w:cs="宋体"/>
          <w:szCs w:val="24"/>
          <w:lang w:val="en-US" w:eastAsia="zh-CN"/>
        </w:rPr>
        <w:t>及</w:t>
      </w:r>
      <w:r>
        <w:rPr>
          <w:rFonts w:hint="eastAsia" w:ascii="宋体" w:hAnsi="宋体" w:eastAsia="宋体" w:cs="宋体"/>
          <w:szCs w:val="24"/>
        </w:rPr>
        <w:t>时间需求，分布在各中心节点。</w:t>
      </w:r>
    </w:p>
    <w:p>
      <w:pPr>
        <w:pStyle w:val="33"/>
        <w:spacing w:before="156" w:after="156" w:line="360" w:lineRule="auto"/>
        <w:rPr>
          <w:rFonts w:hint="eastAsia"/>
          <w:szCs w:val="24"/>
        </w:rPr>
      </w:pPr>
      <w:bookmarkStart w:id="117" w:name="_Toc27772"/>
      <w:r>
        <w:rPr>
          <w:rFonts w:hint="eastAsia"/>
          <w:szCs w:val="24"/>
        </w:rPr>
        <w:t>大数据技术应用</w:t>
      </w:r>
      <w:bookmarkEnd w:id="117"/>
    </w:p>
    <w:p>
      <w:pPr>
        <w:pStyle w:val="30"/>
        <w:keepNext w:val="0"/>
        <w:keepLines w:val="0"/>
        <w:pageBreakBefore w:val="0"/>
        <w:widowControl/>
        <w:numPr>
          <w:ilvl w:val="0"/>
          <w:numId w:val="24"/>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分布式计算中间件</w:t>
      </w:r>
      <w:r>
        <w:rPr>
          <w:rFonts w:hint="eastAsia"/>
          <w:szCs w:val="24"/>
          <w:lang w:eastAsia="zh-CN"/>
        </w:rPr>
        <w:t>：</w:t>
      </w:r>
      <w:r>
        <w:rPr>
          <w:rFonts w:hint="eastAsia"/>
          <w:szCs w:val="24"/>
        </w:rPr>
        <w:t>分布式数据计算中间件主要</w:t>
      </w:r>
      <w:r>
        <w:rPr>
          <w:rFonts w:hint="eastAsia" w:ascii="宋体" w:hAnsi="宋体" w:eastAsia="宋体" w:cs="宋体"/>
          <w:szCs w:val="24"/>
        </w:rPr>
        <w:t>采用Map/Reduce等计算模</w:t>
      </w:r>
      <w:r>
        <w:rPr>
          <w:rFonts w:hint="eastAsia"/>
          <w:szCs w:val="24"/>
        </w:rPr>
        <w:t>型，主要实现对数据的大规模挖掘分析，为系统分析服务功能提供支撑</w:t>
      </w:r>
      <w:r>
        <w:rPr>
          <w:rFonts w:hint="eastAsia"/>
          <w:szCs w:val="24"/>
          <w:lang w:eastAsia="zh-CN"/>
        </w:rPr>
        <w:t>；</w:t>
      </w:r>
    </w:p>
    <w:p>
      <w:pPr>
        <w:pStyle w:val="30"/>
        <w:keepNext w:val="0"/>
        <w:keepLines w:val="0"/>
        <w:pageBreakBefore w:val="0"/>
        <w:widowControl/>
        <w:numPr>
          <w:ilvl w:val="0"/>
          <w:numId w:val="24"/>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Cs w:val="24"/>
        </w:rPr>
      </w:pPr>
      <w:r>
        <w:rPr>
          <w:rFonts w:hint="eastAsia"/>
          <w:szCs w:val="24"/>
        </w:rPr>
        <w:t>行式、列式数据库混合模式</w:t>
      </w:r>
      <w:r>
        <w:rPr>
          <w:rFonts w:hint="eastAsia"/>
          <w:szCs w:val="24"/>
          <w:lang w:eastAsia="zh-CN"/>
        </w:rPr>
        <w:t>：</w:t>
      </w:r>
      <w:r>
        <w:rPr>
          <w:rFonts w:hint="eastAsia" w:ascii="宋体" w:hAnsi="宋体" w:eastAsia="宋体" w:cs="宋体"/>
          <w:szCs w:val="24"/>
        </w:rPr>
        <w:t>行式数据库在应用中负责高价值密度结构化数据的存储和事务型处理，列式数据库在应用中负责存储和处理海量非结构化的数据和低价值密度结构化数据。行式数据库弥补了列式数据库在ACID特性和复杂关联运算方面的不足，列式数据库弥补了行式数据库在海量数据存储和非结构化数据处理方面的缺陷。行式数据库主要采用MySQL数据库，用于构建基础数据库；列式数据库主要采用Hadoop数据库</w:t>
      </w:r>
      <w:r>
        <w:rPr>
          <w:rFonts w:hint="eastAsia" w:hAnsi="宋体" w:cs="宋体"/>
          <w:szCs w:val="24"/>
          <w:lang w:eastAsia="zh-CN"/>
        </w:rPr>
        <w:t>；</w:t>
      </w:r>
    </w:p>
    <w:p>
      <w:pPr>
        <w:pStyle w:val="30"/>
        <w:keepNext w:val="0"/>
        <w:keepLines w:val="0"/>
        <w:pageBreakBefore w:val="0"/>
        <w:widowControl/>
        <w:numPr>
          <w:ilvl w:val="0"/>
          <w:numId w:val="24"/>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Cs w:val="24"/>
        </w:rPr>
      </w:pPr>
      <w:r>
        <w:rPr>
          <w:rFonts w:hint="eastAsia" w:ascii="宋体" w:hAnsi="宋体" w:eastAsia="宋体" w:cs="宋体"/>
          <w:szCs w:val="24"/>
        </w:rPr>
        <w:t>分布式计算技术</w:t>
      </w:r>
      <w:r>
        <w:rPr>
          <w:rFonts w:hint="eastAsia" w:hAnsi="宋体" w:cs="宋体"/>
          <w:szCs w:val="24"/>
          <w:lang w:eastAsia="zh-CN"/>
        </w:rPr>
        <w:t>：</w:t>
      </w:r>
      <w:r>
        <w:rPr>
          <w:rFonts w:hint="eastAsia" w:ascii="宋体" w:hAnsi="宋体" w:eastAsia="宋体" w:cs="宋体"/>
          <w:szCs w:val="24"/>
        </w:rPr>
        <w:t>分布式计算是通过将一个大的任务划分成多个部分，分别交给多个计算节点进行处理，综合得到最终结果的计算技术，是进行数据计算、数据分析和数据挖掘的有效工具。分布式架构的程序能够在大量的普通配置的计算机上实现并行化处理。这个系统在运行时只关心：如何分割输入数据，在大量物理机组成的集群上的调度，集群中的物理机错误处理，管理集群中物理机之间必要的通信。通过分布式计算技术有效利用分布式系统的丰富资源</w:t>
      </w:r>
      <w:r>
        <w:rPr>
          <w:rFonts w:hint="eastAsia" w:hAnsi="宋体" w:cs="宋体"/>
          <w:szCs w:val="24"/>
          <w:lang w:eastAsia="zh-CN"/>
        </w:rPr>
        <w:t>；</w:t>
      </w:r>
    </w:p>
    <w:p>
      <w:pPr>
        <w:pStyle w:val="30"/>
        <w:keepNext w:val="0"/>
        <w:keepLines w:val="0"/>
        <w:pageBreakBefore w:val="0"/>
        <w:widowControl/>
        <w:numPr>
          <w:ilvl w:val="0"/>
          <w:numId w:val="24"/>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Cs w:val="24"/>
        </w:rPr>
      </w:pPr>
      <w:r>
        <w:rPr>
          <w:rFonts w:hint="eastAsia" w:ascii="宋体" w:hAnsi="宋体" w:eastAsia="宋体" w:cs="宋体"/>
          <w:szCs w:val="24"/>
        </w:rPr>
        <w:t>分布式存储技术</w:t>
      </w:r>
      <w:r>
        <w:rPr>
          <w:rFonts w:hint="eastAsia" w:hAnsi="宋体" w:cs="宋体"/>
          <w:szCs w:val="24"/>
          <w:lang w:eastAsia="zh-CN"/>
        </w:rPr>
        <w:t>：</w:t>
      </w:r>
      <w:r>
        <w:rPr>
          <w:rFonts w:hint="eastAsia" w:ascii="宋体" w:hAnsi="宋体" w:eastAsia="宋体" w:cs="宋体"/>
          <w:szCs w:val="24"/>
        </w:rPr>
        <w:t>分布式存储技术，是将数据分散存储在多台独立的设备上。传统的网络存储系统采用集中的存储服务器存放所有数据，存储服务器成为系统性能的瓶颈，也是可靠性和安全性的焦点，不能满足大规模存储应用的需要。分布式网络存储系统采用可扩展的系统结构，利用多台存储服务器分担存储负荷，利用位置服务器定位存储信息，它不但提高了系统的可靠性、可用性和存取效率，还易于扩展</w:t>
      </w:r>
      <w:r>
        <w:rPr>
          <w:rFonts w:hint="eastAsia" w:hAnsi="宋体" w:cs="宋体"/>
          <w:szCs w:val="24"/>
          <w:lang w:eastAsia="zh-CN"/>
        </w:rPr>
        <w:t>；</w:t>
      </w:r>
    </w:p>
    <w:p>
      <w:pPr>
        <w:pStyle w:val="30"/>
        <w:keepNext w:val="0"/>
        <w:keepLines w:val="0"/>
        <w:pageBreakBefore w:val="0"/>
        <w:widowControl/>
        <w:numPr>
          <w:ilvl w:val="0"/>
          <w:numId w:val="24"/>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Cs w:val="24"/>
        </w:rPr>
      </w:pPr>
      <w:r>
        <w:rPr>
          <w:rFonts w:hint="eastAsia" w:ascii="宋体" w:hAnsi="宋体" w:eastAsia="宋体" w:cs="宋体"/>
          <w:szCs w:val="24"/>
        </w:rPr>
        <w:t>采用SOA（面向服务架构）体系规范设计</w:t>
      </w:r>
      <w:r>
        <w:rPr>
          <w:rFonts w:hint="eastAsia" w:hAnsi="宋体" w:cs="宋体"/>
          <w:szCs w:val="24"/>
          <w:lang w:eastAsia="zh-CN"/>
        </w:rPr>
        <w:t>：</w:t>
      </w:r>
      <w:r>
        <w:rPr>
          <w:rFonts w:hint="eastAsia" w:ascii="宋体" w:hAnsi="宋体" w:eastAsia="宋体" w:cs="宋体"/>
          <w:szCs w:val="24"/>
        </w:rPr>
        <w:t>面向服务体系的架构（SOA）支持将应用作为链接服务或可重复的任务进行集成，可以采用不同的技术，通过对不同的服务根据应用需求进行组合与展现，使最终用户感受这些服务似乎就跟安装在本地桌面上一样。平台根据需要将这些服务组装为按需的应用程序——即相互连接的服务提供者和使用者集合，彼此结合以完成特定任务，使应用功能能够适应不断变化的情况和需求。系统总体框架按照主流的SOA（面向服务架构）体系规范设计，以及相关的数据和应用标准规范、安全管理规范来保障系统的统一性和安全性</w:t>
      </w:r>
      <w:r>
        <w:rPr>
          <w:rFonts w:hint="eastAsia" w:hAnsi="宋体" w:cs="宋体"/>
          <w:szCs w:val="24"/>
          <w:lang w:eastAsia="zh-CN"/>
        </w:rPr>
        <w:t>；</w:t>
      </w:r>
    </w:p>
    <w:p>
      <w:pPr>
        <w:pStyle w:val="30"/>
        <w:keepNext w:val="0"/>
        <w:keepLines w:val="0"/>
        <w:pageBreakBefore w:val="0"/>
        <w:widowControl/>
        <w:numPr>
          <w:ilvl w:val="0"/>
          <w:numId w:val="24"/>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Cs w:val="24"/>
        </w:rPr>
      </w:pPr>
      <w:r>
        <w:rPr>
          <w:rFonts w:hint="eastAsia" w:ascii="宋体" w:hAnsi="宋体" w:eastAsia="宋体" w:cs="宋体"/>
          <w:szCs w:val="24"/>
          <w:lang w:val="en-US" w:eastAsia="zh-CN"/>
        </w:rPr>
        <w:t>使用JAVA语言按J2EE规范进行系统研发</w:t>
      </w:r>
      <w:r>
        <w:rPr>
          <w:rFonts w:hint="eastAsia" w:hAnsi="宋体" w:cs="宋体"/>
          <w:szCs w:val="24"/>
          <w:lang w:val="en-US" w:eastAsia="zh-CN"/>
        </w:rPr>
        <w:t>，</w:t>
      </w:r>
      <w:r>
        <w:rPr>
          <w:rFonts w:hint="eastAsia" w:ascii="宋体" w:hAnsi="宋体" w:eastAsia="宋体" w:cs="宋体"/>
          <w:szCs w:val="24"/>
        </w:rPr>
        <w:t>JAVA技术共有以下特点：</w:t>
      </w:r>
    </w:p>
    <w:p>
      <w:pPr>
        <w:numPr>
          <w:ilvl w:val="0"/>
          <w:numId w:val="25"/>
        </w:numPr>
        <w:spacing w:line="360" w:lineRule="auto"/>
        <w:ind w:left="210" w:leftChars="0" w:firstLine="420" w:firstLineChars="0"/>
        <w:rPr>
          <w:rFonts w:hint="eastAsia" w:ascii="宋体" w:hAnsi="宋体" w:eastAsia="宋体" w:cs="宋体"/>
          <w:szCs w:val="24"/>
        </w:rPr>
      </w:pPr>
      <w:r>
        <w:rPr>
          <w:rFonts w:hint="eastAsia" w:ascii="宋体" w:hAnsi="宋体" w:eastAsia="宋体" w:cs="宋体"/>
          <w:szCs w:val="24"/>
        </w:rPr>
        <w:t>平台独立性，与硬件、操作系统</w:t>
      </w:r>
      <w:r>
        <w:rPr>
          <w:rFonts w:hint="eastAsia" w:ascii="宋体" w:hAnsi="宋体" w:cs="宋体"/>
          <w:szCs w:val="24"/>
          <w:lang w:val="en-US" w:eastAsia="zh-CN"/>
        </w:rPr>
        <w:t>及</w:t>
      </w:r>
      <w:r>
        <w:rPr>
          <w:rFonts w:hint="eastAsia" w:ascii="宋体" w:hAnsi="宋体" w:eastAsia="宋体" w:cs="宋体"/>
          <w:szCs w:val="24"/>
        </w:rPr>
        <w:t>数据库无关；</w:t>
      </w:r>
    </w:p>
    <w:p>
      <w:pPr>
        <w:numPr>
          <w:ilvl w:val="0"/>
          <w:numId w:val="25"/>
        </w:numPr>
        <w:spacing w:line="360" w:lineRule="auto"/>
        <w:ind w:left="210" w:leftChars="0" w:firstLine="420" w:firstLineChars="0"/>
        <w:rPr>
          <w:rFonts w:hint="eastAsia" w:ascii="宋体" w:hAnsi="宋体" w:eastAsia="宋体" w:cs="宋体"/>
          <w:szCs w:val="24"/>
        </w:rPr>
      </w:pPr>
      <w:r>
        <w:rPr>
          <w:rFonts w:hint="eastAsia" w:ascii="宋体" w:hAnsi="宋体" w:eastAsia="宋体" w:cs="宋体"/>
          <w:szCs w:val="24"/>
        </w:rPr>
        <w:t>新型的面向对象的程序语言，代码可重用</w:t>
      </w:r>
      <w:r>
        <w:rPr>
          <w:rFonts w:hint="eastAsia" w:ascii="宋体" w:hAnsi="宋体" w:cs="宋体"/>
          <w:szCs w:val="24"/>
          <w:lang w:val="en-US" w:eastAsia="zh-CN"/>
        </w:rPr>
        <w:t>和</w:t>
      </w:r>
      <w:r>
        <w:rPr>
          <w:rFonts w:hint="eastAsia" w:ascii="宋体" w:hAnsi="宋体" w:eastAsia="宋体" w:cs="宋体"/>
          <w:szCs w:val="24"/>
        </w:rPr>
        <w:t>可扩展；</w:t>
      </w:r>
    </w:p>
    <w:p>
      <w:pPr>
        <w:numPr>
          <w:ilvl w:val="0"/>
          <w:numId w:val="25"/>
        </w:numPr>
        <w:spacing w:line="360" w:lineRule="auto"/>
        <w:ind w:left="210" w:leftChars="0" w:firstLine="420" w:firstLineChars="0"/>
        <w:rPr>
          <w:rFonts w:hint="eastAsia" w:ascii="宋体" w:hAnsi="宋体" w:eastAsia="宋体" w:cs="宋体"/>
          <w:szCs w:val="24"/>
        </w:rPr>
      </w:pPr>
      <w:r>
        <w:rPr>
          <w:rFonts w:hint="eastAsia" w:ascii="宋体" w:hAnsi="宋体" w:eastAsia="宋体" w:cs="宋体"/>
          <w:szCs w:val="24"/>
        </w:rPr>
        <w:t>强大的安全</w:t>
      </w:r>
      <w:r>
        <w:rPr>
          <w:rFonts w:hint="eastAsia" w:ascii="宋体" w:hAnsi="宋体" w:cs="宋体"/>
          <w:szCs w:val="24"/>
          <w:lang w:val="en-US" w:eastAsia="zh-CN"/>
        </w:rPr>
        <w:t>结构化</w:t>
      </w:r>
      <w:r>
        <w:rPr>
          <w:rFonts w:hint="eastAsia" w:ascii="宋体" w:hAnsi="宋体" w:eastAsia="宋体" w:cs="宋体"/>
          <w:szCs w:val="24"/>
        </w:rPr>
        <w:t>策略，可防止恶意程序或病毒的入侵</w:t>
      </w:r>
      <w:r>
        <w:rPr>
          <w:rFonts w:hint="eastAsia" w:ascii="宋体" w:hAnsi="宋体" w:cs="宋体"/>
          <w:szCs w:val="24"/>
          <w:lang w:eastAsia="zh-CN"/>
        </w:rPr>
        <w:t>；</w:t>
      </w:r>
    </w:p>
    <w:p>
      <w:pPr>
        <w:numPr>
          <w:ilvl w:val="0"/>
          <w:numId w:val="25"/>
        </w:numPr>
        <w:spacing w:line="360" w:lineRule="auto"/>
        <w:ind w:left="210" w:leftChars="0" w:firstLine="420" w:firstLineChars="0"/>
        <w:rPr>
          <w:rFonts w:hint="eastAsia" w:ascii="宋体" w:hAnsi="宋体" w:eastAsia="宋体" w:cs="宋体"/>
          <w:szCs w:val="24"/>
        </w:rPr>
      </w:pPr>
      <w:r>
        <w:rPr>
          <w:rFonts w:hint="eastAsia" w:ascii="宋体" w:hAnsi="宋体" w:eastAsia="宋体" w:cs="宋体"/>
          <w:szCs w:val="24"/>
        </w:rPr>
        <w:t>通过多线程运行机制来支持多任务和并行处理；</w:t>
      </w:r>
    </w:p>
    <w:p>
      <w:pPr>
        <w:numPr>
          <w:ilvl w:val="0"/>
          <w:numId w:val="25"/>
        </w:numPr>
        <w:spacing w:line="360" w:lineRule="auto"/>
        <w:ind w:left="210" w:leftChars="0" w:firstLine="420" w:firstLineChars="0"/>
        <w:rPr>
          <w:rFonts w:hint="eastAsia" w:ascii="宋体" w:hAnsi="宋体" w:eastAsia="宋体" w:cs="宋体"/>
          <w:szCs w:val="24"/>
        </w:rPr>
      </w:pPr>
      <w:r>
        <w:rPr>
          <w:rFonts w:hint="eastAsia" w:ascii="宋体" w:hAnsi="宋体" w:eastAsia="宋体" w:cs="宋体"/>
          <w:szCs w:val="24"/>
        </w:rPr>
        <w:t>符合J2EE、EJB</w:t>
      </w:r>
      <w:r>
        <w:rPr>
          <w:rFonts w:hint="eastAsia" w:ascii="宋体" w:hAnsi="宋体" w:cs="宋体"/>
          <w:szCs w:val="24"/>
          <w:lang w:val="en-US" w:eastAsia="zh-CN"/>
        </w:rPr>
        <w:t>及</w:t>
      </w:r>
      <w:r>
        <w:rPr>
          <w:rFonts w:hint="eastAsia" w:ascii="宋体" w:hAnsi="宋体" w:eastAsia="宋体" w:cs="宋体"/>
          <w:szCs w:val="24"/>
        </w:rPr>
        <w:t>CORBA规范，是优秀的组件开发语言</w:t>
      </w:r>
      <w:r>
        <w:rPr>
          <w:rFonts w:hint="eastAsia" w:ascii="宋体" w:hAnsi="宋体" w:eastAsia="宋体" w:cs="宋体"/>
          <w:szCs w:val="24"/>
          <w:lang w:eastAsia="zh-CN"/>
        </w:rPr>
        <w:t>。</w:t>
      </w:r>
    </w:p>
    <w:p>
      <w:pPr>
        <w:numPr>
          <w:ilvl w:val="0"/>
          <w:numId w:val="0"/>
        </w:numPr>
        <w:spacing w:line="360" w:lineRule="auto"/>
        <w:ind w:firstLine="420" w:firstLineChars="0"/>
        <w:rPr>
          <w:rFonts w:hint="eastAsia" w:ascii="宋体" w:hAnsi="宋体" w:eastAsia="宋体" w:cs="宋体"/>
          <w:szCs w:val="24"/>
        </w:rPr>
      </w:pPr>
      <w:r>
        <w:rPr>
          <w:rFonts w:hint="eastAsia" w:ascii="宋体" w:hAnsi="宋体" w:eastAsia="宋体" w:cs="宋体"/>
          <w:szCs w:val="24"/>
        </w:rPr>
        <w:t>基于JAVA以上的特点，使JAVA成为Internet技术体系的主流开发技术。Java编程语言将运用于平台服务层、应用层上的各种服务、接口及应用功能的开发实现。</w:t>
      </w:r>
    </w:p>
    <w:p>
      <w:pPr>
        <w:pStyle w:val="33"/>
        <w:spacing w:before="156" w:after="156" w:line="360" w:lineRule="auto"/>
        <w:rPr>
          <w:rFonts w:hint="eastAsia"/>
          <w:szCs w:val="24"/>
        </w:rPr>
      </w:pPr>
      <w:bookmarkStart w:id="118" w:name="_Toc28193"/>
      <w:r>
        <w:rPr>
          <w:rFonts w:hint="eastAsia"/>
          <w:szCs w:val="24"/>
        </w:rPr>
        <w:t>可视化技术应用</w:t>
      </w:r>
      <w:bookmarkEnd w:id="118"/>
    </w:p>
    <w:p>
      <w:pPr>
        <w:numPr>
          <w:ilvl w:val="0"/>
          <w:numId w:val="0"/>
        </w:numPr>
        <w:spacing w:line="360" w:lineRule="auto"/>
        <w:ind w:firstLine="420" w:firstLineChars="0"/>
        <w:rPr>
          <w:rFonts w:hint="eastAsia"/>
          <w:szCs w:val="24"/>
        </w:rPr>
      </w:pPr>
      <w:r>
        <w:rPr>
          <w:rFonts w:hint="eastAsia"/>
          <w:szCs w:val="24"/>
        </w:rPr>
        <w:t>数据可视化最大程度的利用人的眼睛传达信息，视觉是我们所有感官中最快的，比触觉、嗅觉都要快很多，每天都有很多的信息从各种渠道被眼睛感知。数据可视化就是利用了视觉这一特点，通过引入视觉设计大大提升了数据的说服力，使数据的可读性和逻辑性都得到了增强，让我们看到信息中内在模式和关联，使信息更有意义。</w:t>
      </w:r>
    </w:p>
    <w:p>
      <w:pPr>
        <w:numPr>
          <w:ilvl w:val="0"/>
          <w:numId w:val="0"/>
        </w:numPr>
        <w:spacing w:line="360" w:lineRule="auto"/>
        <w:ind w:firstLine="420" w:firstLineChars="0"/>
        <w:rPr>
          <w:rFonts w:hint="eastAsia"/>
          <w:szCs w:val="24"/>
        </w:rPr>
      </w:pPr>
      <w:r>
        <w:rPr>
          <w:rFonts w:hint="eastAsia"/>
          <w:szCs w:val="24"/>
        </w:rPr>
        <w:t>数据可视化不仅仅追求看起来更漂亮，而是追求用一种更为专业和优雅的方式，将数据呈现在我们眼前，它不仅将我们引导到信息中重要的部分，同时也是一种重要的数据挖掘的手段。</w:t>
      </w:r>
    </w:p>
    <w:p>
      <w:pPr>
        <w:pStyle w:val="30"/>
        <w:keepNext w:val="0"/>
        <w:keepLines w:val="0"/>
        <w:pageBreakBefore w:val="0"/>
        <w:widowControl/>
        <w:numPr>
          <w:ilvl w:val="0"/>
          <w:numId w:val="26"/>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Web数据可视化类型</w:t>
      </w:r>
      <w:r>
        <w:rPr>
          <w:rFonts w:hint="eastAsia"/>
          <w:szCs w:val="24"/>
          <w:lang w:eastAsia="zh-CN"/>
        </w:rPr>
        <w:t>，</w:t>
      </w:r>
      <w:r>
        <w:rPr>
          <w:rFonts w:hint="default" w:ascii="Times New Roman" w:hAnsi="Times New Roman" w:cs="Times New Roman"/>
          <w:szCs w:val="24"/>
        </w:rPr>
        <w:t>Web数据可视化从粒度上可以分为可视化信息图和可视化图表两大类：</w:t>
      </w:r>
    </w:p>
    <w:p>
      <w:pPr>
        <w:numPr>
          <w:ilvl w:val="0"/>
          <w:numId w:val="27"/>
        </w:numPr>
        <w:spacing w:line="360" w:lineRule="auto"/>
        <w:ind w:left="210" w:leftChars="0" w:firstLine="420" w:firstLineChars="0"/>
        <w:rPr>
          <w:rFonts w:hint="eastAsia" w:ascii="宋体" w:hAnsi="宋体" w:eastAsia="宋体" w:cs="宋体"/>
          <w:szCs w:val="24"/>
        </w:rPr>
      </w:pPr>
      <w:r>
        <w:rPr>
          <w:rFonts w:hint="eastAsia" w:ascii="宋体" w:hAnsi="宋体" w:eastAsia="宋体" w:cs="宋体"/>
          <w:szCs w:val="24"/>
        </w:rPr>
        <w:t>可视化信息图：是以点线面或融入多个单一图形的形式对复杂结构业务数据，动态勾画出一个具有完整的“数据故事”的可视化图形。信息图一般常用于可视化表述业务主题内包含较多子主题，并且各个子主题之间存在一定逻辑关系的业务信息</w:t>
      </w:r>
      <w:r>
        <w:rPr>
          <w:rFonts w:hint="eastAsia" w:ascii="宋体" w:hAnsi="宋体" w:cs="宋体"/>
          <w:szCs w:val="24"/>
          <w:lang w:eastAsia="zh-CN"/>
        </w:rPr>
        <w:t>；</w:t>
      </w:r>
    </w:p>
    <w:p>
      <w:pPr>
        <w:numPr>
          <w:ilvl w:val="0"/>
          <w:numId w:val="27"/>
        </w:numPr>
        <w:spacing w:line="360" w:lineRule="auto"/>
        <w:ind w:left="210" w:leftChars="0" w:firstLine="420" w:firstLineChars="0"/>
        <w:rPr>
          <w:rFonts w:hint="eastAsia" w:ascii="宋体" w:hAnsi="宋体" w:eastAsia="宋体" w:cs="宋体"/>
          <w:szCs w:val="24"/>
        </w:rPr>
      </w:pPr>
      <w:r>
        <w:rPr>
          <w:rFonts w:hint="eastAsia" w:ascii="宋体" w:hAnsi="宋体" w:eastAsia="宋体" w:cs="宋体"/>
          <w:szCs w:val="24"/>
        </w:rPr>
        <w:t>可视化图表：是以常见的图形或表格，表述业务主题相对单一的业务信息。常见图形包括：地图、时间轴图、网格图、树形图、热力图、矩阵图、散点图、标签云图、气泡图、折线图、流程图、平行坐标轴图、堆栈图</w:t>
      </w:r>
      <w:r>
        <w:rPr>
          <w:rFonts w:hint="eastAsia" w:ascii="宋体" w:hAnsi="宋体" w:eastAsia="宋体" w:cs="宋体"/>
          <w:szCs w:val="24"/>
          <w:lang w:val="en-US" w:eastAsia="zh-CN"/>
        </w:rPr>
        <w:t>及</w:t>
      </w:r>
      <w:r>
        <w:rPr>
          <w:rFonts w:hint="eastAsia" w:ascii="宋体" w:hAnsi="宋体" w:eastAsia="宋体" w:cs="宋体"/>
          <w:szCs w:val="24"/>
        </w:rPr>
        <w:t>雷达图等。</w:t>
      </w:r>
    </w:p>
    <w:p>
      <w:pPr>
        <w:pStyle w:val="30"/>
        <w:keepNext w:val="0"/>
        <w:keepLines w:val="0"/>
        <w:pageBreakBefore w:val="0"/>
        <w:widowControl/>
        <w:numPr>
          <w:ilvl w:val="0"/>
          <w:numId w:val="26"/>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主流数据可视化工具</w:t>
      </w:r>
    </w:p>
    <w:p>
      <w:pPr>
        <w:numPr>
          <w:ilvl w:val="0"/>
          <w:numId w:val="28"/>
        </w:numPr>
        <w:spacing w:line="360" w:lineRule="auto"/>
        <w:ind w:left="210" w:leftChars="0" w:firstLine="420" w:firstLineChars="0"/>
        <w:rPr>
          <w:rFonts w:hint="eastAsia" w:ascii="宋体" w:hAnsi="宋体" w:eastAsia="宋体" w:cs="宋体"/>
          <w:szCs w:val="24"/>
          <w:lang w:eastAsia="zh-CN"/>
        </w:rPr>
      </w:pPr>
      <w:r>
        <w:rPr>
          <w:rFonts w:hint="eastAsia" w:ascii="宋体" w:hAnsi="宋体" w:eastAsia="宋体" w:cs="宋体"/>
          <w:szCs w:val="24"/>
        </w:rPr>
        <w:t>Web端数据可视化开发建议选择</w:t>
      </w:r>
      <w:r>
        <w:rPr>
          <w:rFonts w:hint="eastAsia" w:ascii="宋体" w:hAnsi="宋体" w:eastAsia="宋体" w:cs="宋体"/>
          <w:szCs w:val="24"/>
          <w:lang w:eastAsia="zh-CN"/>
        </w:rPr>
        <w:t>本文件</w:t>
      </w:r>
      <w:r>
        <w:rPr>
          <w:rFonts w:hint="eastAsia" w:ascii="宋体" w:hAnsi="宋体" w:eastAsia="宋体" w:cs="宋体"/>
          <w:szCs w:val="24"/>
        </w:rPr>
        <w:t>中推荐的免费工具，一方面该类工具已经可以很好的满足Web端数据可视化业务场景需求，能够与Web系统很好的融合；另一方面较低的学习曲线、</w:t>
      </w:r>
      <w:r>
        <w:rPr>
          <w:rFonts w:hint="eastAsia" w:ascii="宋体" w:hAnsi="宋体" w:cs="宋体"/>
          <w:szCs w:val="24"/>
          <w:lang w:val="en-US" w:eastAsia="zh-CN"/>
        </w:rPr>
        <w:t>摄取</w:t>
      </w:r>
      <w:r>
        <w:rPr>
          <w:rFonts w:hint="eastAsia" w:ascii="宋体" w:hAnsi="宋体" w:eastAsia="宋体" w:cs="宋体"/>
          <w:szCs w:val="24"/>
        </w:rPr>
        <w:t>丰富的样例分享、浏览器较好的兼容性</w:t>
      </w:r>
      <w:r>
        <w:rPr>
          <w:rFonts w:hint="eastAsia" w:ascii="宋体" w:hAnsi="宋体" w:cs="宋体"/>
          <w:szCs w:val="24"/>
          <w:lang w:val="en-US" w:eastAsia="zh-CN"/>
        </w:rPr>
        <w:t>及</w:t>
      </w:r>
      <w:r>
        <w:rPr>
          <w:rFonts w:hint="eastAsia" w:ascii="宋体" w:hAnsi="宋体" w:eastAsia="宋体" w:cs="宋体"/>
          <w:szCs w:val="24"/>
        </w:rPr>
        <w:t>与Web前端无缝融合可以有效控制此方面研发成本投入。可视化信息图开发工具：该类开发工具普遍是对SVG标签语言的封装，可以很好支持绘制点线面最基本图像元素，满足数据可视化绘图的最小粒度需求，同时也具有众多绘图函数，能够方便快捷的定义图像元素的样式与事件。此类开发工具或框架众多，考虑到学习曲线和社区资源丰富程度，推荐使用D3js。D3js是一个基于Web标准的JavaScript可视化库</w:t>
      </w:r>
      <w:r>
        <w:rPr>
          <w:rFonts w:hint="eastAsia" w:ascii="宋体" w:hAnsi="宋体" w:cs="宋体"/>
          <w:szCs w:val="24"/>
          <w:lang w:eastAsia="zh-CN"/>
        </w:rPr>
        <w:t>。</w:t>
      </w:r>
      <w:r>
        <w:rPr>
          <w:rFonts w:hint="eastAsia" w:ascii="宋体" w:hAnsi="宋体" w:eastAsia="宋体" w:cs="宋体"/>
          <w:szCs w:val="24"/>
        </w:rPr>
        <w:t>D3可以借助SVG</w:t>
      </w:r>
      <w:r>
        <w:rPr>
          <w:rFonts w:hint="eastAsia" w:ascii="宋体" w:hAnsi="宋体" w:cs="宋体"/>
          <w:szCs w:val="24"/>
          <w:lang w:eastAsia="zh-CN"/>
        </w:rPr>
        <w:t>、</w:t>
      </w:r>
      <w:r>
        <w:rPr>
          <w:rFonts w:hint="eastAsia" w:ascii="宋体" w:hAnsi="宋体" w:eastAsia="宋体" w:cs="宋体"/>
          <w:szCs w:val="24"/>
        </w:rPr>
        <w:t>Canvas以及HTML将你的数据生动的展现出来</w:t>
      </w:r>
      <w:r>
        <w:rPr>
          <w:rFonts w:hint="eastAsia" w:ascii="宋体" w:hAnsi="宋体" w:cs="宋体"/>
          <w:szCs w:val="24"/>
          <w:lang w:eastAsia="zh-CN"/>
        </w:rPr>
        <w:t>。</w:t>
      </w:r>
      <w:r>
        <w:rPr>
          <w:rFonts w:hint="eastAsia" w:ascii="宋体" w:hAnsi="宋体" w:eastAsia="宋体" w:cs="宋体"/>
          <w:szCs w:val="24"/>
        </w:rPr>
        <w:t>D3结合了强大的可视化交互技术以及数据驱动DOM的技术结合起来</w:t>
      </w:r>
      <w:r>
        <w:rPr>
          <w:rFonts w:hint="eastAsia" w:ascii="宋体" w:hAnsi="宋体" w:cs="宋体"/>
          <w:szCs w:val="24"/>
          <w:lang w:eastAsia="zh-CN"/>
        </w:rPr>
        <w:t>，</w:t>
      </w:r>
      <w:r>
        <w:rPr>
          <w:rFonts w:hint="eastAsia" w:ascii="宋体" w:hAnsi="宋体" w:eastAsia="宋体" w:cs="宋体"/>
          <w:szCs w:val="24"/>
        </w:rPr>
        <w:t>让你可以借助于现代浏览器的强大功能自由的对数据进行可视化。D3所强调的Web标准帮助开发者在无需捆绑任何专有框架的前提下，结合强大的可视化组件及其数据驱动的DOM操纵方法，充分利用现代浏览器的全部功能</w:t>
      </w:r>
      <w:r>
        <w:rPr>
          <w:rFonts w:hint="eastAsia" w:ascii="宋体" w:hAnsi="宋体" w:cs="宋体"/>
          <w:szCs w:val="24"/>
          <w:lang w:eastAsia="zh-CN"/>
        </w:rPr>
        <w:t>；</w:t>
      </w:r>
    </w:p>
    <w:p>
      <w:pPr>
        <w:numPr>
          <w:ilvl w:val="0"/>
          <w:numId w:val="28"/>
        </w:numPr>
        <w:spacing w:line="360" w:lineRule="auto"/>
        <w:ind w:left="210" w:leftChars="0" w:firstLine="420" w:firstLineChars="0"/>
        <w:rPr>
          <w:rFonts w:hint="eastAsia" w:ascii="宋体" w:hAnsi="宋体" w:eastAsia="宋体" w:cs="宋体"/>
          <w:szCs w:val="24"/>
        </w:rPr>
      </w:pPr>
      <w:r>
        <w:rPr>
          <w:rFonts w:hint="eastAsia" w:ascii="宋体" w:hAnsi="宋体" w:eastAsia="宋体" w:cs="宋体"/>
          <w:szCs w:val="24"/>
        </w:rPr>
        <w:t>可视化图标开发工具：该类开发工具相比可视化信息图开发工具更为丰富，从图形种类和社区资源的丰富程度来看，推荐是Echarts。Echarts缩写来自Enterprise</w:t>
      </w:r>
      <w:r>
        <w:rPr>
          <w:rFonts w:hint="eastAsia" w:ascii="宋体" w:hAnsi="宋体" w:cs="宋体"/>
          <w:szCs w:val="24"/>
          <w:lang w:val="en-US" w:eastAsia="zh-CN"/>
        </w:rPr>
        <w:t xml:space="preserve"> </w:t>
      </w:r>
      <w:r>
        <w:rPr>
          <w:rFonts w:hint="eastAsia" w:ascii="宋体" w:hAnsi="宋体" w:eastAsia="宋体" w:cs="宋体"/>
          <w:szCs w:val="24"/>
        </w:rPr>
        <w:t>Charts，商业级数据图表，是百度的一个开源的数据可视化工具，一个纯Javascript的图表库，能够在PC端和移动设备上流畅运行，兼容当前绝大部分浏览器（IE6/7/8/9/10/11</w:t>
      </w:r>
      <w:r>
        <w:rPr>
          <w:rFonts w:hint="eastAsia" w:ascii="宋体" w:hAnsi="宋体" w:cs="宋体"/>
          <w:szCs w:val="24"/>
          <w:lang w:eastAsia="zh-CN"/>
        </w:rPr>
        <w:t>、</w:t>
      </w:r>
      <w:r>
        <w:rPr>
          <w:rFonts w:hint="eastAsia" w:ascii="宋体" w:hAnsi="宋体" w:eastAsia="宋体" w:cs="宋体"/>
          <w:szCs w:val="24"/>
        </w:rPr>
        <w:t>chrome</w:t>
      </w:r>
      <w:r>
        <w:rPr>
          <w:rFonts w:hint="eastAsia" w:ascii="宋体" w:hAnsi="宋体" w:cs="宋体"/>
          <w:szCs w:val="24"/>
          <w:lang w:eastAsia="zh-CN"/>
        </w:rPr>
        <w:t>、</w:t>
      </w:r>
      <w:r>
        <w:rPr>
          <w:rFonts w:hint="eastAsia" w:ascii="宋体" w:hAnsi="宋体" w:eastAsia="宋体" w:cs="宋体"/>
          <w:szCs w:val="24"/>
        </w:rPr>
        <w:t>firefox</w:t>
      </w:r>
      <w:r>
        <w:rPr>
          <w:rFonts w:hint="eastAsia" w:ascii="宋体" w:hAnsi="宋体" w:cs="宋体"/>
          <w:szCs w:val="24"/>
          <w:lang w:val="en-US" w:eastAsia="zh-CN"/>
        </w:rPr>
        <w:t>及</w:t>
      </w:r>
      <w:r>
        <w:rPr>
          <w:rFonts w:hint="eastAsia" w:ascii="宋体" w:hAnsi="宋体" w:eastAsia="宋体" w:cs="宋体"/>
          <w:szCs w:val="24"/>
        </w:rPr>
        <w:t>Safari等），底层依赖轻量级的Canvas库ZRender，ECharts提供直观，生动，可交互，可高度个性化定制的数据可视化图表。创新的拖拽重计算、数据视图</w:t>
      </w:r>
      <w:r>
        <w:rPr>
          <w:rFonts w:hint="eastAsia" w:ascii="宋体" w:hAnsi="宋体" w:cs="宋体"/>
          <w:szCs w:val="24"/>
          <w:lang w:val="en-US" w:eastAsia="zh-CN"/>
        </w:rPr>
        <w:t>及</w:t>
      </w:r>
      <w:r>
        <w:rPr>
          <w:rFonts w:hint="eastAsia" w:ascii="宋体" w:hAnsi="宋体" w:eastAsia="宋体" w:cs="宋体"/>
          <w:szCs w:val="24"/>
        </w:rPr>
        <w:t>值域漫游等特性大大增强了用户体验，赋予了用户对数据进行挖掘、整合的能力。</w:t>
      </w:r>
    </w:p>
    <w:p>
      <w:pPr>
        <w:pStyle w:val="32"/>
        <w:spacing w:before="312" w:after="312" w:line="360" w:lineRule="auto"/>
        <w:rPr>
          <w:rFonts w:hint="eastAsia"/>
          <w:szCs w:val="24"/>
        </w:rPr>
      </w:pPr>
      <w:bookmarkStart w:id="119" w:name="_Toc14487"/>
      <w:r>
        <w:rPr>
          <w:rFonts w:hint="eastAsia"/>
          <w:szCs w:val="24"/>
        </w:rPr>
        <w:t>基础条件要求</w:t>
      </w:r>
      <w:bookmarkEnd w:id="119"/>
    </w:p>
    <w:p>
      <w:pPr>
        <w:pStyle w:val="33"/>
        <w:spacing w:before="156" w:after="156" w:line="360" w:lineRule="auto"/>
        <w:rPr>
          <w:rFonts w:hint="eastAsia"/>
          <w:szCs w:val="24"/>
        </w:rPr>
      </w:pPr>
      <w:bookmarkStart w:id="120" w:name="_Toc6773"/>
      <w:r>
        <w:rPr>
          <w:rFonts w:hint="eastAsia"/>
          <w:szCs w:val="24"/>
        </w:rPr>
        <w:t>云技术应用</w:t>
      </w:r>
      <w:bookmarkEnd w:id="120"/>
    </w:p>
    <w:p>
      <w:pPr>
        <w:numPr>
          <w:ilvl w:val="0"/>
          <w:numId w:val="0"/>
        </w:numPr>
        <w:spacing w:line="360" w:lineRule="auto"/>
        <w:ind w:firstLine="420" w:firstLineChars="0"/>
        <w:rPr>
          <w:rFonts w:hint="eastAsia"/>
          <w:szCs w:val="24"/>
        </w:rPr>
      </w:pPr>
      <w:r>
        <w:rPr>
          <w:rFonts w:hint="eastAsia"/>
          <w:szCs w:val="24"/>
        </w:rPr>
        <w:t>充分利用云服务，及相关虚拟化技术，构建停车场接入服务平台，提高系统建设的经济性、可靠性、安全性与可扩展性。</w:t>
      </w:r>
    </w:p>
    <w:p>
      <w:pPr>
        <w:pStyle w:val="33"/>
        <w:spacing w:before="156" w:after="156" w:line="360" w:lineRule="auto"/>
        <w:rPr>
          <w:rFonts w:hint="eastAsia"/>
          <w:szCs w:val="24"/>
        </w:rPr>
      </w:pPr>
      <w:bookmarkStart w:id="121" w:name="_Toc25288"/>
      <w:r>
        <w:rPr>
          <w:rFonts w:hint="eastAsia"/>
          <w:szCs w:val="24"/>
        </w:rPr>
        <w:t>接口规范管理</w:t>
      </w:r>
      <w:bookmarkEnd w:id="121"/>
    </w:p>
    <w:p>
      <w:pPr>
        <w:numPr>
          <w:ilvl w:val="0"/>
          <w:numId w:val="0"/>
        </w:numPr>
        <w:spacing w:line="360" w:lineRule="auto"/>
        <w:ind w:firstLine="420" w:firstLineChars="0"/>
        <w:rPr>
          <w:rFonts w:hint="eastAsia"/>
          <w:szCs w:val="24"/>
        </w:rPr>
      </w:pPr>
      <w:r>
        <w:rPr>
          <w:rFonts w:hint="eastAsia"/>
          <w:szCs w:val="24"/>
        </w:rPr>
        <w:t>采用统一技术规范实现，并进行有效安全控制，保证数据交换的准确性、完整性、便捷性和安全性。平台间交互的业务数据应遵循交通运输部及各地相关标准，保证数据的可移植性。平台接口、业务流程等应具有一定的前瞻性，统筹考虑未来业务扩展，具备较好的可重用性与可扩展性。</w:t>
      </w:r>
    </w:p>
    <w:p>
      <w:pPr>
        <w:pStyle w:val="33"/>
        <w:spacing w:before="156" w:after="156" w:line="360" w:lineRule="auto"/>
        <w:rPr>
          <w:rFonts w:hint="eastAsia"/>
          <w:szCs w:val="24"/>
        </w:rPr>
      </w:pPr>
      <w:bookmarkStart w:id="122" w:name="_Toc27381"/>
      <w:r>
        <w:rPr>
          <w:rFonts w:hint="eastAsia"/>
          <w:szCs w:val="24"/>
        </w:rPr>
        <w:t>系统安全保障</w:t>
      </w:r>
      <w:bookmarkEnd w:id="122"/>
    </w:p>
    <w:p>
      <w:pPr>
        <w:numPr>
          <w:ilvl w:val="0"/>
          <w:numId w:val="0"/>
        </w:numPr>
        <w:spacing w:line="360" w:lineRule="auto"/>
        <w:ind w:firstLine="420" w:firstLineChars="0"/>
        <w:rPr>
          <w:rFonts w:hint="eastAsia"/>
          <w:szCs w:val="24"/>
        </w:rPr>
      </w:pPr>
      <w:r>
        <w:rPr>
          <w:rFonts w:hint="eastAsia"/>
          <w:szCs w:val="24"/>
        </w:rPr>
        <w:t>按照国家信息安全等级保护有关要求，构建相应等级安全保护，综合各类技术和管理手段，针对性完善安全保护措施，构建科学有效的信息安全保护体系。充分借助云服务的安全保障措施，实现停车接入平台在物理安全、网络安全、主机安全、应用安全</w:t>
      </w:r>
      <w:r>
        <w:rPr>
          <w:rFonts w:hint="eastAsia"/>
          <w:szCs w:val="24"/>
          <w:lang w:val="en-US" w:eastAsia="zh-CN"/>
        </w:rPr>
        <w:t>和</w:t>
      </w:r>
      <w:r>
        <w:rPr>
          <w:rFonts w:hint="eastAsia"/>
          <w:szCs w:val="24"/>
        </w:rPr>
        <w:t>数据安全等5个层面的安全保障。</w:t>
      </w:r>
    </w:p>
    <w:p>
      <w:pPr>
        <w:pStyle w:val="32"/>
        <w:spacing w:before="312" w:after="312" w:line="360" w:lineRule="auto"/>
        <w:rPr>
          <w:rFonts w:hint="eastAsia"/>
          <w:szCs w:val="24"/>
        </w:rPr>
      </w:pPr>
      <w:bookmarkStart w:id="123" w:name="_Toc28205"/>
      <w:r>
        <w:rPr>
          <w:rFonts w:hint="eastAsia"/>
          <w:szCs w:val="24"/>
        </w:rPr>
        <w:t>系统保障要求</w:t>
      </w:r>
      <w:bookmarkEnd w:id="123"/>
    </w:p>
    <w:p>
      <w:pPr>
        <w:pStyle w:val="33"/>
        <w:spacing w:before="156" w:after="156" w:line="360" w:lineRule="auto"/>
        <w:rPr>
          <w:rFonts w:hint="eastAsia"/>
          <w:szCs w:val="24"/>
        </w:rPr>
      </w:pPr>
      <w:bookmarkStart w:id="124" w:name="_Toc5052"/>
      <w:r>
        <w:rPr>
          <w:rFonts w:hint="eastAsia"/>
          <w:szCs w:val="24"/>
        </w:rPr>
        <w:t>系统安全性</w:t>
      </w:r>
      <w:bookmarkEnd w:id="124"/>
    </w:p>
    <w:p>
      <w:pPr>
        <w:numPr>
          <w:ilvl w:val="0"/>
          <w:numId w:val="0"/>
        </w:numPr>
        <w:spacing w:line="360" w:lineRule="auto"/>
        <w:ind w:firstLine="420" w:firstLineChars="0"/>
        <w:rPr>
          <w:rFonts w:hint="default" w:eastAsia="宋体"/>
          <w:szCs w:val="24"/>
          <w:lang w:val="en-US" w:eastAsia="zh-CN"/>
        </w:rPr>
      </w:pPr>
      <w:r>
        <w:rPr>
          <w:rFonts w:hint="eastAsia"/>
          <w:szCs w:val="24"/>
          <w:lang w:val="en-US" w:eastAsia="zh-CN"/>
        </w:rPr>
        <w:t>系统安全性应满足以下要求：</w:t>
      </w:r>
    </w:p>
    <w:p>
      <w:pPr>
        <w:pStyle w:val="30"/>
        <w:keepNext w:val="0"/>
        <w:keepLines w:val="0"/>
        <w:pageBreakBefore w:val="0"/>
        <w:widowControl/>
        <w:numPr>
          <w:ilvl w:val="0"/>
          <w:numId w:val="29"/>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提供有效的安全保密机制，保证各系统之间传输报文全部经过加密算法后再发送与接收，防止对数据的恶意破坏</w:t>
      </w:r>
      <w:r>
        <w:rPr>
          <w:rFonts w:hint="eastAsia"/>
          <w:szCs w:val="24"/>
          <w:lang w:eastAsia="zh-CN"/>
        </w:rPr>
        <w:t>；</w:t>
      </w:r>
    </w:p>
    <w:p>
      <w:pPr>
        <w:pStyle w:val="30"/>
        <w:keepNext w:val="0"/>
        <w:keepLines w:val="0"/>
        <w:pageBreakBefore w:val="0"/>
        <w:widowControl/>
        <w:numPr>
          <w:ilvl w:val="0"/>
          <w:numId w:val="29"/>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提供口令验证、加密、权限控制</w:t>
      </w:r>
      <w:r>
        <w:rPr>
          <w:rFonts w:hint="eastAsia"/>
          <w:szCs w:val="24"/>
          <w:lang w:val="en-US" w:eastAsia="zh-CN"/>
        </w:rPr>
        <w:t>和</w:t>
      </w:r>
      <w:r>
        <w:rPr>
          <w:rFonts w:hint="eastAsia"/>
          <w:szCs w:val="24"/>
        </w:rPr>
        <w:t>电子签名等安全机制</w:t>
      </w:r>
      <w:r>
        <w:rPr>
          <w:rFonts w:hint="eastAsia"/>
          <w:szCs w:val="24"/>
          <w:lang w:eastAsia="zh-CN"/>
        </w:rPr>
        <w:t>；</w:t>
      </w:r>
    </w:p>
    <w:p>
      <w:pPr>
        <w:pStyle w:val="30"/>
        <w:keepNext w:val="0"/>
        <w:keepLines w:val="0"/>
        <w:pageBreakBefore w:val="0"/>
        <w:widowControl/>
        <w:numPr>
          <w:ilvl w:val="0"/>
          <w:numId w:val="29"/>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采用操作权限控制、用户钥匙、密码控制、系统日志监督</w:t>
      </w:r>
      <w:r>
        <w:rPr>
          <w:rFonts w:hint="eastAsia"/>
          <w:szCs w:val="24"/>
          <w:lang w:val="en-US" w:eastAsia="zh-CN"/>
        </w:rPr>
        <w:t>及</w:t>
      </w:r>
      <w:r>
        <w:rPr>
          <w:rFonts w:hint="eastAsia"/>
          <w:szCs w:val="24"/>
        </w:rPr>
        <w:t>数据更新严格凭证等多种手段，具有防止误操作及恶意操作的功能</w:t>
      </w:r>
      <w:r>
        <w:rPr>
          <w:rFonts w:hint="eastAsia"/>
          <w:szCs w:val="24"/>
          <w:lang w:eastAsia="zh-CN"/>
        </w:rPr>
        <w:t>；</w:t>
      </w:r>
    </w:p>
    <w:p>
      <w:pPr>
        <w:pStyle w:val="30"/>
        <w:keepNext w:val="0"/>
        <w:keepLines w:val="0"/>
        <w:pageBreakBefore w:val="0"/>
        <w:widowControl/>
        <w:numPr>
          <w:ilvl w:val="0"/>
          <w:numId w:val="29"/>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系统管理分权限控制，可对不同用户设置不同的操作等级及权限，并提供根据设备类型设置相应权限的功能</w:t>
      </w:r>
      <w:r>
        <w:rPr>
          <w:rFonts w:hint="eastAsia"/>
          <w:szCs w:val="24"/>
          <w:lang w:eastAsia="zh-CN"/>
        </w:rPr>
        <w:t>；</w:t>
      </w:r>
    </w:p>
    <w:p>
      <w:pPr>
        <w:pStyle w:val="30"/>
        <w:keepNext w:val="0"/>
        <w:keepLines w:val="0"/>
        <w:pageBreakBefore w:val="0"/>
        <w:widowControl/>
        <w:numPr>
          <w:ilvl w:val="0"/>
          <w:numId w:val="29"/>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软件系统自身具有自监测、自诊断和充分的冗余功能，并运行防病毒软件</w:t>
      </w:r>
      <w:r>
        <w:rPr>
          <w:rFonts w:hint="eastAsia"/>
          <w:szCs w:val="24"/>
          <w:lang w:val="en-US" w:eastAsia="zh-CN"/>
        </w:rPr>
        <w:t>和</w:t>
      </w:r>
      <w:r>
        <w:rPr>
          <w:rFonts w:hint="eastAsia"/>
          <w:szCs w:val="24"/>
        </w:rPr>
        <w:t>防火墙等加强软件系统的防护能力</w:t>
      </w:r>
      <w:r>
        <w:rPr>
          <w:rFonts w:hint="eastAsia"/>
          <w:szCs w:val="24"/>
          <w:lang w:eastAsia="zh-CN"/>
        </w:rPr>
        <w:t>；</w:t>
      </w:r>
    </w:p>
    <w:p>
      <w:pPr>
        <w:pStyle w:val="30"/>
        <w:keepNext w:val="0"/>
        <w:keepLines w:val="0"/>
        <w:pageBreakBefore w:val="0"/>
        <w:widowControl/>
        <w:numPr>
          <w:ilvl w:val="0"/>
          <w:numId w:val="29"/>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完备的系统日志及数据库管理机制，具有防篡改和备份机制。</w:t>
      </w:r>
    </w:p>
    <w:p>
      <w:pPr>
        <w:pStyle w:val="33"/>
        <w:spacing w:before="156" w:after="156" w:line="360" w:lineRule="auto"/>
        <w:rPr>
          <w:rFonts w:hint="eastAsia"/>
          <w:szCs w:val="24"/>
        </w:rPr>
      </w:pPr>
      <w:bookmarkStart w:id="125" w:name="_Toc19994"/>
      <w:r>
        <w:rPr>
          <w:rFonts w:hint="eastAsia"/>
          <w:szCs w:val="24"/>
        </w:rPr>
        <w:t>系统可靠性</w:t>
      </w:r>
      <w:bookmarkEnd w:id="125"/>
    </w:p>
    <w:p>
      <w:pPr>
        <w:numPr>
          <w:ilvl w:val="0"/>
          <w:numId w:val="0"/>
        </w:numPr>
        <w:spacing w:line="360" w:lineRule="auto"/>
        <w:ind w:firstLine="420" w:firstLineChars="0"/>
        <w:rPr>
          <w:rFonts w:hint="eastAsia"/>
          <w:szCs w:val="24"/>
        </w:rPr>
      </w:pPr>
      <w:r>
        <w:rPr>
          <w:rFonts w:hint="eastAsia"/>
          <w:szCs w:val="24"/>
          <w:lang w:val="en-US" w:eastAsia="zh-CN"/>
        </w:rPr>
        <w:t>系统可靠性应满足以下要求：</w:t>
      </w:r>
    </w:p>
    <w:p>
      <w:pPr>
        <w:pStyle w:val="30"/>
        <w:keepNext w:val="0"/>
        <w:keepLines w:val="0"/>
        <w:pageBreakBefore w:val="0"/>
        <w:widowControl/>
        <w:numPr>
          <w:ilvl w:val="0"/>
          <w:numId w:val="30"/>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系统无故障运行时间大于5000小时</w:t>
      </w:r>
      <w:r>
        <w:rPr>
          <w:rFonts w:hint="eastAsia"/>
          <w:szCs w:val="24"/>
          <w:lang w:eastAsia="zh-CN"/>
        </w:rPr>
        <w:t>；</w:t>
      </w:r>
    </w:p>
    <w:p>
      <w:pPr>
        <w:pStyle w:val="30"/>
        <w:keepNext w:val="0"/>
        <w:keepLines w:val="0"/>
        <w:pageBreakBefore w:val="0"/>
        <w:widowControl/>
        <w:numPr>
          <w:ilvl w:val="0"/>
          <w:numId w:val="30"/>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系统支持并发客户数大于1000人</w:t>
      </w:r>
      <w:r>
        <w:rPr>
          <w:rFonts w:hint="eastAsia"/>
          <w:szCs w:val="24"/>
          <w:lang w:eastAsia="zh-CN"/>
        </w:rPr>
        <w:t>；</w:t>
      </w:r>
    </w:p>
    <w:p>
      <w:pPr>
        <w:pStyle w:val="30"/>
        <w:keepNext w:val="0"/>
        <w:keepLines w:val="0"/>
        <w:pageBreakBefore w:val="0"/>
        <w:widowControl/>
        <w:numPr>
          <w:ilvl w:val="0"/>
          <w:numId w:val="30"/>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系统支持在与上级辽宁高速ETC拓展服务平台异常断网情况下，可正常缓存未上报成功的数据，系统对每个停车场可以保存不少于1万条上报数据，在网络恢复后可补传数据</w:t>
      </w:r>
      <w:r>
        <w:rPr>
          <w:rFonts w:hint="eastAsia"/>
          <w:szCs w:val="24"/>
          <w:lang w:eastAsia="zh-CN"/>
        </w:rPr>
        <w:t>；</w:t>
      </w:r>
    </w:p>
    <w:p>
      <w:pPr>
        <w:pStyle w:val="30"/>
        <w:keepNext w:val="0"/>
        <w:keepLines w:val="0"/>
        <w:pageBreakBefore w:val="0"/>
        <w:widowControl/>
        <w:numPr>
          <w:ilvl w:val="0"/>
          <w:numId w:val="30"/>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系统支持在与下级停车场（库）信息管理系统异常断网情况下，可以缓存未下发成功的数据，系统对每个停车场可以保存不少于1千条下发数据，在网络恢复后可补传数据</w:t>
      </w:r>
      <w:r>
        <w:rPr>
          <w:rFonts w:hint="eastAsia"/>
          <w:szCs w:val="24"/>
          <w:lang w:eastAsia="zh-CN"/>
        </w:rPr>
        <w:t>；</w:t>
      </w:r>
    </w:p>
    <w:p>
      <w:pPr>
        <w:pStyle w:val="30"/>
        <w:keepNext w:val="0"/>
        <w:keepLines w:val="0"/>
        <w:pageBreakBefore w:val="0"/>
        <w:widowControl/>
        <w:numPr>
          <w:ilvl w:val="0"/>
          <w:numId w:val="30"/>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百万目录数据量，全文检索客户端响应时间：≤2秒</w:t>
      </w:r>
      <w:r>
        <w:rPr>
          <w:rFonts w:hint="eastAsia"/>
          <w:szCs w:val="24"/>
          <w:lang w:eastAsia="zh-CN"/>
        </w:rPr>
        <w:t>；</w:t>
      </w:r>
    </w:p>
    <w:p>
      <w:pPr>
        <w:pStyle w:val="30"/>
        <w:keepNext w:val="0"/>
        <w:keepLines w:val="0"/>
        <w:pageBreakBefore w:val="0"/>
        <w:widowControl/>
        <w:numPr>
          <w:ilvl w:val="0"/>
          <w:numId w:val="30"/>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采用具有容错功能的服务器及网络设备，选用双机备份，当出现故障时能够迅速恢复并有适当的应急措施</w:t>
      </w:r>
      <w:r>
        <w:rPr>
          <w:rFonts w:hint="eastAsia"/>
          <w:szCs w:val="24"/>
          <w:lang w:eastAsia="zh-CN"/>
        </w:rPr>
        <w:t>；</w:t>
      </w:r>
    </w:p>
    <w:p>
      <w:pPr>
        <w:pStyle w:val="30"/>
        <w:keepNext w:val="0"/>
        <w:keepLines w:val="0"/>
        <w:pageBreakBefore w:val="0"/>
        <w:widowControl/>
        <w:numPr>
          <w:ilvl w:val="0"/>
          <w:numId w:val="30"/>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采用数据备份恢复、数据日志</w:t>
      </w:r>
      <w:r>
        <w:rPr>
          <w:rFonts w:hint="eastAsia"/>
          <w:szCs w:val="24"/>
          <w:lang w:val="en-US" w:eastAsia="zh-CN"/>
        </w:rPr>
        <w:t>及</w:t>
      </w:r>
      <w:r>
        <w:rPr>
          <w:rFonts w:hint="eastAsia"/>
          <w:szCs w:val="24"/>
        </w:rPr>
        <w:t>故障处理等系统故障对策功能</w:t>
      </w:r>
      <w:r>
        <w:rPr>
          <w:rFonts w:hint="eastAsia"/>
          <w:szCs w:val="24"/>
          <w:lang w:eastAsia="zh-CN"/>
        </w:rPr>
        <w:t>；</w:t>
      </w:r>
    </w:p>
    <w:p>
      <w:pPr>
        <w:pStyle w:val="30"/>
        <w:keepNext w:val="0"/>
        <w:keepLines w:val="0"/>
        <w:pageBreakBefore w:val="0"/>
        <w:widowControl/>
        <w:numPr>
          <w:ilvl w:val="0"/>
          <w:numId w:val="30"/>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采用网络管理、严格的系统运行控制等系统监控功能</w:t>
      </w:r>
      <w:r>
        <w:rPr>
          <w:rFonts w:hint="eastAsia"/>
          <w:szCs w:val="24"/>
          <w:lang w:eastAsia="zh-CN"/>
        </w:rPr>
        <w:t>。</w:t>
      </w:r>
    </w:p>
    <w:p>
      <w:pPr>
        <w:pStyle w:val="33"/>
        <w:spacing w:before="156" w:after="156" w:line="360" w:lineRule="auto"/>
        <w:rPr>
          <w:rFonts w:hint="eastAsia"/>
          <w:szCs w:val="24"/>
        </w:rPr>
      </w:pPr>
      <w:bookmarkStart w:id="126" w:name="_Toc13258"/>
      <w:r>
        <w:rPr>
          <w:rFonts w:hint="eastAsia"/>
          <w:szCs w:val="24"/>
        </w:rPr>
        <w:t>系统容灾性</w:t>
      </w:r>
      <w:bookmarkEnd w:id="126"/>
    </w:p>
    <w:p>
      <w:pPr>
        <w:numPr>
          <w:ilvl w:val="0"/>
          <w:numId w:val="0"/>
        </w:numPr>
        <w:spacing w:line="360" w:lineRule="auto"/>
        <w:ind w:firstLine="420" w:firstLineChars="0"/>
        <w:rPr>
          <w:rFonts w:hint="eastAsia"/>
          <w:szCs w:val="24"/>
        </w:rPr>
      </w:pPr>
      <w:r>
        <w:rPr>
          <w:rFonts w:hint="eastAsia"/>
          <w:szCs w:val="24"/>
        </w:rPr>
        <w:t>服务器应使用集群方案，一方面可以分担业务请求负荷</w:t>
      </w:r>
      <w:r>
        <w:rPr>
          <w:rFonts w:hint="eastAsia"/>
          <w:szCs w:val="24"/>
          <w:lang w:eastAsia="zh-CN"/>
        </w:rPr>
        <w:t>，</w:t>
      </w:r>
      <w:r>
        <w:rPr>
          <w:rFonts w:hint="eastAsia"/>
          <w:szCs w:val="24"/>
        </w:rPr>
        <w:t>另一方面给系统在线维护及升级提供最佳可行性方案</w:t>
      </w:r>
      <w:r>
        <w:rPr>
          <w:rFonts w:hint="eastAsia"/>
          <w:szCs w:val="24"/>
          <w:lang w:eastAsia="zh-CN"/>
        </w:rPr>
        <w:t>，</w:t>
      </w:r>
      <w:r>
        <w:rPr>
          <w:rFonts w:hint="eastAsia"/>
          <w:szCs w:val="24"/>
        </w:rPr>
        <w:t>如遇硬件级灾难也可通过分配访问方案避免用户无法访问服务。</w:t>
      </w:r>
    </w:p>
    <w:p>
      <w:pPr>
        <w:numPr>
          <w:ilvl w:val="0"/>
          <w:numId w:val="0"/>
        </w:numPr>
        <w:spacing w:line="360" w:lineRule="auto"/>
        <w:ind w:firstLine="420" w:firstLineChars="0"/>
        <w:rPr>
          <w:rFonts w:hint="eastAsia"/>
          <w:szCs w:val="24"/>
        </w:rPr>
      </w:pPr>
      <w:r>
        <w:rPr>
          <w:rFonts w:hint="eastAsia"/>
          <w:szCs w:val="24"/>
        </w:rPr>
        <w:t>数据层应使用负载均衡，本身对数据已经是物理分区存储，其安全级别已经很高。系统还会定期进行数据自动备份，并脱机保存。交易数据实行两套同步在线数据，每天定时备份第三份交易日志与数据。</w:t>
      </w:r>
    </w:p>
    <w:p>
      <w:pPr>
        <w:pStyle w:val="33"/>
        <w:spacing w:before="156" w:after="156" w:line="360" w:lineRule="auto"/>
        <w:rPr>
          <w:rFonts w:hint="eastAsia"/>
          <w:szCs w:val="24"/>
        </w:rPr>
      </w:pPr>
      <w:bookmarkStart w:id="127" w:name="_Toc17039"/>
      <w:r>
        <w:rPr>
          <w:rFonts w:hint="eastAsia"/>
          <w:szCs w:val="24"/>
        </w:rPr>
        <w:t>系统扩展性</w:t>
      </w:r>
      <w:bookmarkEnd w:id="127"/>
    </w:p>
    <w:p>
      <w:pPr>
        <w:numPr>
          <w:ilvl w:val="0"/>
          <w:numId w:val="0"/>
        </w:numPr>
        <w:spacing w:line="360" w:lineRule="auto"/>
        <w:ind w:firstLine="420" w:firstLineChars="0"/>
        <w:rPr>
          <w:rFonts w:hint="eastAsia"/>
          <w:szCs w:val="24"/>
        </w:rPr>
      </w:pPr>
      <w:r>
        <w:rPr>
          <w:rFonts w:hint="eastAsia"/>
          <w:szCs w:val="24"/>
          <w:lang w:val="en-US" w:eastAsia="zh-CN"/>
        </w:rPr>
        <w:t>系统扩展性应满足以下要求：</w:t>
      </w:r>
    </w:p>
    <w:p>
      <w:pPr>
        <w:pStyle w:val="30"/>
        <w:keepNext w:val="0"/>
        <w:keepLines w:val="0"/>
        <w:pageBreakBefore w:val="0"/>
        <w:widowControl/>
        <w:numPr>
          <w:ilvl w:val="0"/>
          <w:numId w:val="31"/>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采用集中式系统架构，确保良好的系统扩展性</w:t>
      </w:r>
      <w:r>
        <w:rPr>
          <w:rFonts w:hint="eastAsia"/>
          <w:szCs w:val="24"/>
          <w:lang w:eastAsia="zh-CN"/>
        </w:rPr>
        <w:t>；</w:t>
      </w:r>
    </w:p>
    <w:p>
      <w:pPr>
        <w:pStyle w:val="30"/>
        <w:keepNext w:val="0"/>
        <w:keepLines w:val="0"/>
        <w:pageBreakBefore w:val="0"/>
        <w:widowControl/>
        <w:numPr>
          <w:ilvl w:val="0"/>
          <w:numId w:val="31"/>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在数据接入方面，对上能够支持根据辽宁高速ETC拓展服务平台业务需求扩展数据交互接口种类与内容，对下能够支持新车场（库）信息管理系统扩展数据交互接口种类与内容，确保系统能够快速与灵活的扩展数据接入服务能力</w:t>
      </w:r>
      <w:r>
        <w:rPr>
          <w:rFonts w:hint="eastAsia"/>
          <w:szCs w:val="24"/>
          <w:lang w:eastAsia="zh-CN"/>
        </w:rPr>
        <w:t>；</w:t>
      </w:r>
    </w:p>
    <w:p>
      <w:pPr>
        <w:pStyle w:val="30"/>
        <w:keepNext w:val="0"/>
        <w:keepLines w:val="0"/>
        <w:pageBreakBefore w:val="0"/>
        <w:widowControl/>
        <w:numPr>
          <w:ilvl w:val="0"/>
          <w:numId w:val="31"/>
        </w:numPr>
        <w:kinsoku/>
        <w:wordWrap/>
        <w:overflowPunct/>
        <w:topLinePunct w:val="0"/>
        <w:autoSpaceDE w:val="0"/>
        <w:autoSpaceDN w:val="0"/>
        <w:bidi w:val="0"/>
        <w:adjustRightInd/>
        <w:snapToGrid/>
        <w:spacing w:line="360" w:lineRule="auto"/>
        <w:ind w:firstLine="420" w:firstLineChars="200"/>
        <w:textAlignment w:val="auto"/>
        <w:rPr>
          <w:rFonts w:hint="eastAsia"/>
          <w:szCs w:val="24"/>
        </w:rPr>
      </w:pPr>
      <w:r>
        <w:rPr>
          <w:rFonts w:hint="eastAsia"/>
          <w:szCs w:val="24"/>
        </w:rPr>
        <w:t>在业务数据处理方面，系统能够根据辽宁高速ETC拓展服务平台业务需求，快捷与低成本的完善与增量业务数据处理功能，满足辽宁高速ETC拓展服务平台未来业务发展需要。</w:t>
      </w:r>
    </w:p>
    <w:bookmarkEnd w:id="35"/>
    <w:bookmarkEnd w:id="36"/>
    <w:p>
      <w:pPr>
        <w:pStyle w:val="30"/>
        <w:spacing w:line="360" w:lineRule="auto"/>
        <w:rPr>
          <w:szCs w:val="22"/>
        </w:rPr>
      </w:pPr>
      <w:bookmarkStart w:id="128" w:name="BKCKWX"/>
    </w:p>
    <w:bookmarkEnd w:id="128"/>
    <w:p>
      <w:pPr>
        <w:pStyle w:val="30"/>
        <w:numPr>
          <w:ilvl w:val="0"/>
          <w:numId w:val="0"/>
        </w:numPr>
        <w:spacing w:line="360" w:lineRule="auto"/>
        <w:ind w:left="420" w:leftChars="0"/>
        <w:rPr>
          <w:rFonts w:hint="eastAsia"/>
          <w:szCs w:val="22"/>
        </w:rPr>
      </w:pPr>
    </w:p>
    <w:p>
      <w:pPr>
        <w:pStyle w:val="37"/>
        <w:spacing w:line="360" w:lineRule="auto"/>
      </w:pPr>
      <w:r>
        <w:t>________________________________</w:t>
      </w:r>
    </w:p>
    <w:p>
      <w:pPr>
        <w:pStyle w:val="30"/>
        <w:spacing w:line="360" w:lineRule="auto"/>
        <w:ind w:firstLine="0" w:firstLineChars="0"/>
      </w:pPr>
    </w:p>
    <w:p>
      <w:pPr>
        <w:spacing w:line="360" w:lineRule="auto"/>
      </w:pPr>
    </w:p>
    <w:sectPr>
      <w:headerReference r:id="rId10" w:type="default"/>
      <w:footerReference r:id="rId12" w:type="default"/>
      <w:headerReference r:id="rId11" w:type="even"/>
      <w:footerReference r:id="rId13" w:type="even"/>
      <w:pgSz w:w="11906" w:h="16838"/>
      <w:pgMar w:top="720" w:right="1134" w:bottom="720" w:left="1417" w:header="1418" w:footer="1134" w:gutter="0"/>
      <w:pgNumType w:start="1"/>
      <w:cols w:space="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0"/>
                            <w:rPr>
                              <w:rFonts w:hint="eastAsia" w:eastAsia="宋体"/>
                              <w:lang w:val="en-US" w:eastAsia="zh-CN"/>
                            </w:rPr>
                          </w:pPr>
                          <w:r>
                            <w:rPr>
                              <w:rFonts w:hint="eastAsia"/>
                              <w:lang w:val="en-US" w:eastAsia="zh-CN"/>
                            </w:rPr>
                            <w:t>Ⅱ</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rrjO8k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lLShy3OPHzj+/nn7/Pv74R&#10;9KFAfYAa8x4DZqbhxg+YPPsBnZn3oKLNX2REMI7yni7yyiERkR+tlqtVhSGBsfmC+OzpeYiQ7qS3&#10;JBsNjTi/Iis/3kMaU+eUXM35W21MmaFxfzkQM3tY7n3sMVtp2A0ToZ1vT8inx9E31OGmU2I+OlQ2&#10;b8lsxNnYzcYhRL3vyhrlehA+HBI2UXrLFUbYqTDOrLCb9isvxfN7yXr6pz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uuuM7yQEAAJsDAAAOAAAAAAAAAAEAIAAAAB4BAABkcnMvZTJvRG9j&#10;LnhtbFBLBQYAAAAABgAGAFkBAABZBQAAAAA=&#10;">
              <v:fill on="f" focussize="0,0"/>
              <v:stroke on="f"/>
              <v:imagedata o:title=""/>
              <o:lock v:ext="edit" aspectratio="f"/>
              <v:textbox inset="0mm,0mm,0mm,0mm" style="mso-fit-shape-to-text:t;">
                <w:txbxContent>
                  <w:p>
                    <w:pPr>
                      <w:pStyle w:val="40"/>
                      <w:rPr>
                        <w:rFonts w:hint="eastAsia" w:eastAsia="宋体"/>
                        <w:lang w:val="en-US" w:eastAsia="zh-CN"/>
                      </w:rPr>
                    </w:pPr>
                    <w:r>
                      <w:rPr>
                        <w:rFonts w:hint="eastAsia"/>
                        <w:lang w:val="en-US" w:eastAsia="zh-CN"/>
                      </w:rPr>
                      <w:t>Ⅱ</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rPr>
                          </w:pPr>
                          <w:r>
                            <w:rPr>
                              <w:rFonts w:hint="eastAsia"/>
                            </w:rPr>
                            <w:fldChar w:fldCharType="begin"/>
                          </w:r>
                          <w:r>
                            <w:rPr>
                              <w:rFonts w:hint="eastAsia"/>
                            </w:rPr>
                            <w:instrText xml:space="preserve"> PAGE  \* MERGEFORMAT </w:instrText>
                          </w:r>
                          <w:r>
                            <w:rPr>
                              <w:rFonts w:hint="eastAsia"/>
                            </w:rPr>
                            <w:fldChar w:fldCharType="separate"/>
                          </w:r>
                          <w:r>
                            <w:t>I</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4"/>
                      <w:rPr>
                        <w:rFonts w:hint="eastAsia"/>
                      </w:rPr>
                    </w:pPr>
                    <w:r>
                      <w:rPr>
                        <w:rFonts w:hint="eastAsia"/>
                      </w:rPr>
                      <w:fldChar w:fldCharType="begin"/>
                    </w:r>
                    <w:r>
                      <w:rPr>
                        <w:rFonts w:hint="eastAsia"/>
                      </w:rPr>
                      <w:instrText xml:space="preserve"> PAGE  \* MERGEFORMAT </w:instrText>
                    </w:r>
                    <w:r>
                      <w:rPr>
                        <w:rFonts w:hint="eastAsia"/>
                      </w:rPr>
                      <w:fldChar w:fldCharType="separate"/>
                    </w:r>
                    <w:r>
                      <w:t>I</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rPr>
        <w:sz w:val="18"/>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1"/>
                            <w:rPr>
                              <w:rFonts w:hint="eastAsia" w:eastAsia="宋体"/>
                              <w:lang w:val="en-US" w:eastAsia="zh-CN"/>
                            </w:rPr>
                          </w:pPr>
                          <w:r>
                            <w:rPr>
                              <w:rFonts w:hint="eastAsia"/>
                              <w:lang w:val="en-US" w:eastAsia="zh-CN"/>
                            </w:rPr>
                            <w:t>Ⅲ</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6ScgBAACZ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SS+knIAQAAmQMAAA4AAAAAAAAAAQAgAAAAHgEAAGRycy9lMm9Eb2Mu&#10;eG1sUEsFBgAAAAAGAAYAWQEAAFgFAAAAAA==&#10;">
              <v:fill on="f" focussize="0,0"/>
              <v:stroke on="f"/>
              <v:imagedata o:title=""/>
              <o:lock v:ext="edit" aspectratio="f"/>
              <v:textbox inset="0mm,0mm,0mm,0mm" style="mso-fit-shape-to-text:t;">
                <w:txbxContent>
                  <w:p>
                    <w:pPr>
                      <w:pStyle w:val="41"/>
                      <w:rPr>
                        <w:rFonts w:hint="eastAsia" w:eastAsia="宋体"/>
                        <w:lang w:val="en-US" w:eastAsia="zh-CN"/>
                      </w:rPr>
                    </w:pPr>
                    <w:r>
                      <w:rPr>
                        <w:rFonts w:hint="eastAsia"/>
                        <w:lang w:val="en-US" w:eastAsia="zh-CN"/>
                      </w:rPr>
                      <w:t>Ⅲ</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0"/>
                            <w:rPr>
                              <w:rFonts w:hint="eastAsia" w:eastAsia="宋体"/>
                              <w:lang w:val="en-US" w:eastAsia="zh-CN"/>
                            </w:rPr>
                          </w:pPr>
                          <w:r>
                            <w:rPr>
                              <w:rFonts w:hint="eastAsia"/>
                              <w:lang w:val="en-US" w:eastAsia="zh-CN"/>
                            </w:rPr>
                            <w:t>Ⅱ</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pPr>
                      <w:pStyle w:val="40"/>
                      <w:rPr>
                        <w:rFonts w:hint="eastAsia" w:eastAsia="宋体"/>
                        <w:lang w:val="en-US" w:eastAsia="zh-CN"/>
                      </w:rPr>
                    </w:pPr>
                    <w:r>
                      <w:rPr>
                        <w:rFonts w:hint="eastAsia"/>
                        <w:lang w:val="en-US" w:eastAsia="zh-CN"/>
                      </w:rPr>
                      <w:t>Ⅱ</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1"/>
                          </w:pPr>
                          <w:r>
                            <w:fldChar w:fldCharType="begin"/>
                          </w:r>
                          <w:r>
                            <w:instrText xml:space="preserve"> PAGE  \* MERGEFORMAT </w:instrText>
                          </w:r>
                          <w:r>
                            <w:fldChar w:fldCharType="separate"/>
                          </w:r>
                          <w:r>
                            <w:t>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fnvsskBAACb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4T&#10;9KFAfYAa8+4CZqbhvR8wefYDOjPvQUWbv8iIYBzlPV3klUMiIj9aLVerCkMCY/MF8dnT8xAhfZDe&#10;kmw0NOL8iqz8+AnSmDqn5GrO32pjygyN+8uBmNnDcu9jj9lKw26YCO18e0I+PY6+oQ43nRLz0aGy&#10;eUtmI87GbjYOIep9V9Yo14Pw7pCwidJbrjDCToVxZoXdtF95Kf68l6ynf2rz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d+e+yyQEAAJsDAAAOAAAAAAAAAAEAIAAAAB4BAABkcnMvZTJvRG9j&#10;LnhtbFBLBQYAAAAABgAGAFkBAABZBQAAAAA=&#10;">
              <v:fill on="f" focussize="0,0"/>
              <v:stroke on="f"/>
              <v:imagedata o:title=""/>
              <o:lock v:ext="edit" aspectratio="f"/>
              <v:textbox inset="0mm,0mm,0mm,0mm" style="mso-fit-shape-to-text:t;">
                <w:txbxContent>
                  <w:p>
                    <w:pPr>
                      <w:pStyle w:val="41"/>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0"/>
                          </w:pPr>
                          <w:r>
                            <w:fldChar w:fldCharType="begin"/>
                          </w:r>
                          <w:r>
                            <w:instrText xml:space="preserve"> PAGE  \* MERGEFORMAT </w:instrText>
                          </w:r>
                          <w:r>
                            <w:fldChar w:fldCharType="separate"/>
                          </w:r>
                          <w:r>
                            <w:t>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tkm6skBAACb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4T&#10;9KFAfYAa8+4CZqbhvR8wefYDOjPvQUWbv8iIYBzlPV3klUMiIj9aLVerCkMCY/MF8dnT8xAhfZDe&#10;kmw0NOL8iqz8+AnSmDqn5GrO32pjygyN+8uBmNnDcu9jj9lKw26YCO18e0I+PY6+oQ43nRLz0aGy&#10;eUtmI87GbjYOIep9V9Yo14Pw7pCwidJbrjDCToVxZoXdtF95Kf68l6ynf2rz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G2SbqyQEAAJsDAAAOAAAAAAAAAAEAIAAAAB4BAABkcnMvZTJvRG9j&#10;LnhtbFBLBQYAAAAABgAGAFkBAABZBQAAAAA=&#10;">
              <v:fill on="f" focussize="0,0"/>
              <v:stroke on="f"/>
              <v:imagedata o:title=""/>
              <o:lock v:ext="edit" aspectratio="f"/>
              <v:textbox inset="0mm,0mm,0mm,0mm" style="mso-fit-shape-to-text:t;">
                <w:txbxContent>
                  <w:p>
                    <w:pPr>
                      <w:pStyle w:val="40"/>
                    </w:pPr>
                    <w:r>
                      <w:fldChar w:fldCharType="begin"/>
                    </w:r>
                    <w:r>
                      <w:instrText xml:space="preserve"> PAGE  \* MERGEFORMAT </w:instrText>
                    </w:r>
                    <w:r>
                      <w:fldChar w:fldCharType="separate"/>
                    </w:r>
                    <w:r>
                      <w:t>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jc w:val="both"/>
      <w:rPr>
        <w:rFonts w:hint="eastAsia" w:eastAsia="黑体"/>
        <w:lang w:eastAsia="zh-CN"/>
      </w:rPr>
    </w:pPr>
    <w:r>
      <w:t>DB21/TXXXXX—20</w:t>
    </w:r>
    <w:r>
      <w:rPr>
        <w:rFonts w:hint="eastAsia"/>
      </w:rPr>
      <w:t>2</w:t>
    </w:r>
    <w:r>
      <w:rPr>
        <w:rFonts w:hint="eastAsia"/>
        <w:lang w:val="en-US" w:eastAsia="zh-CN"/>
      </w:rPr>
      <w:t>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rPr>
        <w:rFonts w:hint="eastAsia" w:eastAsia="黑体"/>
        <w:lang w:eastAsia="zh-CN"/>
      </w:rPr>
    </w:pPr>
    <w:r>
      <w:t>DB</w:t>
    </w:r>
    <w:r>
      <w:rPr>
        <w:rFonts w:hint="eastAsia"/>
      </w:rPr>
      <w:t>21</w:t>
    </w:r>
    <w:r>
      <w:t>/</w:t>
    </w:r>
    <w:r>
      <w:rPr>
        <w:rFonts w:hint="eastAsia"/>
      </w:rPr>
      <w:t>T</w:t>
    </w:r>
    <w:r>
      <w:t>XXXX</w:t>
    </w:r>
    <w:r>
      <w:rPr>
        <w:rFonts w:hAnsi="黑体"/>
      </w:rPr>
      <w:t>—</w:t>
    </w:r>
    <w:r>
      <w:rPr>
        <w:rFonts w:hint="eastAsia"/>
      </w:rPr>
      <w:t>202</w:t>
    </w:r>
    <w:r>
      <w:rPr>
        <w:rFonts w:hint="eastAsia"/>
        <w:lang w:val="en-US" w:eastAsia="zh-CN"/>
      </w:rPr>
      <w:t>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Bdr>
        <w:bottom w:val="none" w:color="auto" w:sz="0" w:space="0"/>
      </w:pBdr>
      <w:rPr>
        <w:rFonts w:hint="eastAsia" w:eastAsia="黑体"/>
        <w:lang w:eastAsia="zh-CN"/>
      </w:rPr>
    </w:pPr>
    <w:r>
      <w:t>DB</w:t>
    </w:r>
    <w:r>
      <w:rPr>
        <w:rFonts w:hint="eastAsia"/>
      </w:rPr>
      <w:t>21</w:t>
    </w:r>
    <w:r>
      <w:t>/</w:t>
    </w:r>
    <w:r>
      <w:rPr>
        <w:rFonts w:hint="eastAsia"/>
      </w:rPr>
      <w:t>T</w:t>
    </w:r>
    <w:r>
      <w:t>XXXX</w:t>
    </w:r>
    <w:r>
      <w:rPr>
        <w:rFonts w:hAnsi="黑体"/>
      </w:rPr>
      <w:t>—</w:t>
    </w:r>
    <w:r>
      <w:rPr>
        <w:rFonts w:hint="eastAsia"/>
      </w:rPr>
      <w:t>202</w:t>
    </w:r>
    <w:r>
      <w:rPr>
        <w:rFonts w:hint="eastAsia"/>
        <w:lang w:val="en-US" w:eastAsia="zh-CN"/>
      </w:rPr>
      <w:t>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Bdr>
        <w:bottom w:val="none" w:color="auto" w:sz="0" w:space="0"/>
      </w:pBdr>
      <w:rPr>
        <w:rFonts w:hint="eastAsia" w:hAnsi="黑体" w:eastAsia="黑体" w:cs="黑体"/>
        <w:lang w:eastAsia="zh-CN"/>
      </w:rPr>
    </w:pPr>
    <w:r>
      <w:rPr>
        <w:rFonts w:hint="eastAsia" w:hAnsi="黑体" w:cs="黑体"/>
      </w:rPr>
      <w:t>DB21/TXXXXX—202</w:t>
    </w:r>
    <w:r>
      <w:rPr>
        <w:rFonts w:hint="eastAsia" w:hAnsi="黑体" w:cs="黑体"/>
        <w:lang w:val="en-US" w:eastAsia="zh-CN"/>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A7DD49"/>
    <w:multiLevelType w:val="multilevel"/>
    <w:tmpl w:val="81A7DD49"/>
    <w:lvl w:ilvl="0" w:tentative="0">
      <w:start w:val="1"/>
      <w:numFmt w:val="decimal"/>
      <w:pStyle w:val="3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3"/>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4"/>
      <w:suff w:val="nothing"/>
      <w:lvlText w:val="%1.%2.%3　"/>
      <w:lvlJc w:val="left"/>
      <w:pPr>
        <w:tabs>
          <w:tab w:val="left" w:pos="0"/>
        </w:tabs>
        <w:ind w:left="0" w:firstLine="0"/>
      </w:pPr>
      <w:rPr>
        <w:rFonts w:hint="eastAsia" w:ascii="黑体" w:hAnsi="Times New Roman" w:eastAsia="黑体"/>
        <w:b w:val="0"/>
        <w:i w:val="0"/>
        <w:sz w:val="21"/>
      </w:rPr>
    </w:lvl>
    <w:lvl w:ilvl="3" w:tentative="0">
      <w:start w:val="1"/>
      <w:numFmt w:val="decimal"/>
      <w:pStyle w:val="35"/>
      <w:suff w:val="nothing"/>
      <w:lvlText w:val="%1.%2.%3.%4　"/>
      <w:lvlJc w:val="left"/>
      <w:pPr>
        <w:tabs>
          <w:tab w:val="left" w:pos="0"/>
        </w:tabs>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81DDF40D"/>
    <w:multiLevelType w:val="singleLevel"/>
    <w:tmpl w:val="81DDF40D"/>
    <w:lvl w:ilvl="0" w:tentative="0">
      <w:start w:val="1"/>
      <w:numFmt w:val="lowerLetter"/>
      <w:suff w:val="space"/>
      <w:lvlText w:val="%1)"/>
      <w:lvlJc w:val="left"/>
    </w:lvl>
  </w:abstractNum>
  <w:abstractNum w:abstractNumId="2">
    <w:nsid w:val="8376A379"/>
    <w:multiLevelType w:val="singleLevel"/>
    <w:tmpl w:val="8376A379"/>
    <w:lvl w:ilvl="0" w:tentative="0">
      <w:start w:val="1"/>
      <w:numFmt w:val="lowerLetter"/>
      <w:suff w:val="space"/>
      <w:lvlText w:val="%1)"/>
      <w:lvlJc w:val="left"/>
    </w:lvl>
  </w:abstractNum>
  <w:abstractNum w:abstractNumId="3">
    <w:nsid w:val="83BA3D12"/>
    <w:multiLevelType w:val="singleLevel"/>
    <w:tmpl w:val="83BA3D12"/>
    <w:lvl w:ilvl="0" w:tentative="0">
      <w:start w:val="1"/>
      <w:numFmt w:val="lowerLetter"/>
      <w:suff w:val="space"/>
      <w:lvlText w:val="%1)"/>
      <w:lvlJc w:val="left"/>
    </w:lvl>
  </w:abstractNum>
  <w:abstractNum w:abstractNumId="4">
    <w:nsid w:val="85CE643A"/>
    <w:multiLevelType w:val="singleLevel"/>
    <w:tmpl w:val="85CE643A"/>
    <w:lvl w:ilvl="0" w:tentative="0">
      <w:start w:val="1"/>
      <w:numFmt w:val="lowerLetter"/>
      <w:suff w:val="space"/>
      <w:lvlText w:val="%1)"/>
      <w:lvlJc w:val="left"/>
    </w:lvl>
  </w:abstractNum>
  <w:abstractNum w:abstractNumId="5">
    <w:nsid w:val="8AFD8649"/>
    <w:multiLevelType w:val="singleLevel"/>
    <w:tmpl w:val="8AFD8649"/>
    <w:lvl w:ilvl="0" w:tentative="0">
      <w:start w:val="1"/>
      <w:numFmt w:val="decimal"/>
      <w:suff w:val="space"/>
      <w:lvlText w:val="%1)"/>
      <w:lvlJc w:val="left"/>
      <w:pPr>
        <w:ind w:left="210"/>
      </w:pPr>
    </w:lvl>
  </w:abstractNum>
  <w:abstractNum w:abstractNumId="6">
    <w:nsid w:val="903A1F21"/>
    <w:multiLevelType w:val="singleLevel"/>
    <w:tmpl w:val="903A1F21"/>
    <w:lvl w:ilvl="0" w:tentative="0">
      <w:start w:val="1"/>
      <w:numFmt w:val="lowerLetter"/>
      <w:suff w:val="space"/>
      <w:lvlText w:val="%1)"/>
      <w:lvlJc w:val="left"/>
    </w:lvl>
  </w:abstractNum>
  <w:abstractNum w:abstractNumId="7">
    <w:nsid w:val="95ADBB06"/>
    <w:multiLevelType w:val="singleLevel"/>
    <w:tmpl w:val="95ADBB06"/>
    <w:lvl w:ilvl="0" w:tentative="0">
      <w:start w:val="1"/>
      <w:numFmt w:val="lowerLetter"/>
      <w:suff w:val="space"/>
      <w:lvlText w:val="%1)"/>
      <w:lvlJc w:val="left"/>
    </w:lvl>
  </w:abstractNum>
  <w:abstractNum w:abstractNumId="8">
    <w:nsid w:val="9D9E9BE5"/>
    <w:multiLevelType w:val="singleLevel"/>
    <w:tmpl w:val="9D9E9BE5"/>
    <w:lvl w:ilvl="0" w:tentative="0">
      <w:start w:val="1"/>
      <w:numFmt w:val="decimal"/>
      <w:suff w:val="space"/>
      <w:lvlText w:val="%1)"/>
      <w:lvlJc w:val="left"/>
      <w:pPr>
        <w:ind w:left="210"/>
      </w:pPr>
    </w:lvl>
  </w:abstractNum>
  <w:abstractNum w:abstractNumId="9">
    <w:nsid w:val="B4991A9B"/>
    <w:multiLevelType w:val="singleLevel"/>
    <w:tmpl w:val="B4991A9B"/>
    <w:lvl w:ilvl="0" w:tentative="0">
      <w:start w:val="1"/>
      <w:numFmt w:val="decimal"/>
      <w:suff w:val="space"/>
      <w:lvlText w:val="%1)"/>
      <w:lvlJc w:val="left"/>
      <w:pPr>
        <w:ind w:left="210"/>
      </w:pPr>
    </w:lvl>
  </w:abstractNum>
  <w:abstractNum w:abstractNumId="10">
    <w:nsid w:val="BB34B10B"/>
    <w:multiLevelType w:val="singleLevel"/>
    <w:tmpl w:val="BB34B10B"/>
    <w:lvl w:ilvl="0" w:tentative="0">
      <w:start w:val="1"/>
      <w:numFmt w:val="decimal"/>
      <w:suff w:val="space"/>
      <w:lvlText w:val="%1)"/>
      <w:lvlJc w:val="left"/>
      <w:pPr>
        <w:ind w:left="210"/>
      </w:pPr>
    </w:lvl>
  </w:abstractNum>
  <w:abstractNum w:abstractNumId="11">
    <w:nsid w:val="C1908B38"/>
    <w:multiLevelType w:val="singleLevel"/>
    <w:tmpl w:val="C1908B38"/>
    <w:lvl w:ilvl="0" w:tentative="0">
      <w:start w:val="1"/>
      <w:numFmt w:val="lowerLetter"/>
      <w:suff w:val="space"/>
      <w:lvlText w:val="%1)"/>
      <w:lvlJc w:val="left"/>
    </w:lvl>
  </w:abstractNum>
  <w:abstractNum w:abstractNumId="12">
    <w:nsid w:val="C6006083"/>
    <w:multiLevelType w:val="singleLevel"/>
    <w:tmpl w:val="C6006083"/>
    <w:lvl w:ilvl="0" w:tentative="0">
      <w:start w:val="1"/>
      <w:numFmt w:val="decimal"/>
      <w:suff w:val="space"/>
      <w:lvlText w:val="%1)"/>
      <w:lvlJc w:val="left"/>
      <w:pPr>
        <w:ind w:left="210"/>
      </w:pPr>
    </w:lvl>
  </w:abstractNum>
  <w:abstractNum w:abstractNumId="13">
    <w:nsid w:val="D7D6CC4A"/>
    <w:multiLevelType w:val="singleLevel"/>
    <w:tmpl w:val="D7D6CC4A"/>
    <w:lvl w:ilvl="0" w:tentative="0">
      <w:start w:val="1"/>
      <w:numFmt w:val="decimal"/>
      <w:suff w:val="space"/>
      <w:lvlText w:val="%1)"/>
      <w:lvlJc w:val="left"/>
      <w:pPr>
        <w:ind w:left="210"/>
      </w:pPr>
    </w:lvl>
  </w:abstractNum>
  <w:abstractNum w:abstractNumId="14">
    <w:nsid w:val="EB358D47"/>
    <w:multiLevelType w:val="singleLevel"/>
    <w:tmpl w:val="EB358D47"/>
    <w:lvl w:ilvl="0" w:tentative="0">
      <w:start w:val="1"/>
      <w:numFmt w:val="decimal"/>
      <w:suff w:val="space"/>
      <w:lvlText w:val="%1）"/>
      <w:lvlJc w:val="left"/>
      <w:pPr>
        <w:ind w:left="630"/>
      </w:pPr>
    </w:lvl>
  </w:abstractNum>
  <w:abstractNum w:abstractNumId="15">
    <w:nsid w:val="EE5BA420"/>
    <w:multiLevelType w:val="singleLevel"/>
    <w:tmpl w:val="EE5BA420"/>
    <w:lvl w:ilvl="0" w:tentative="0">
      <w:start w:val="1"/>
      <w:numFmt w:val="decimal"/>
      <w:suff w:val="space"/>
      <w:lvlText w:val="%1）"/>
      <w:lvlJc w:val="left"/>
      <w:pPr>
        <w:ind w:left="210"/>
      </w:pPr>
    </w:lvl>
  </w:abstractNum>
  <w:abstractNum w:abstractNumId="16">
    <w:nsid w:val="F3326015"/>
    <w:multiLevelType w:val="singleLevel"/>
    <w:tmpl w:val="F3326015"/>
    <w:lvl w:ilvl="0" w:tentative="0">
      <w:start w:val="1"/>
      <w:numFmt w:val="lowerLetter"/>
      <w:suff w:val="space"/>
      <w:lvlText w:val="%1)"/>
      <w:lvlJc w:val="left"/>
    </w:lvl>
  </w:abstractNum>
  <w:abstractNum w:abstractNumId="17">
    <w:nsid w:val="F7F72805"/>
    <w:multiLevelType w:val="singleLevel"/>
    <w:tmpl w:val="F7F72805"/>
    <w:lvl w:ilvl="0" w:tentative="0">
      <w:start w:val="1"/>
      <w:numFmt w:val="lowerLetter"/>
      <w:suff w:val="space"/>
      <w:lvlText w:val="%1)"/>
      <w:lvlJc w:val="left"/>
    </w:lvl>
  </w:abstractNum>
  <w:abstractNum w:abstractNumId="18">
    <w:nsid w:val="F844B730"/>
    <w:multiLevelType w:val="singleLevel"/>
    <w:tmpl w:val="F844B730"/>
    <w:lvl w:ilvl="0" w:tentative="0">
      <w:start w:val="1"/>
      <w:numFmt w:val="decimal"/>
      <w:suff w:val="space"/>
      <w:lvlText w:val="%1)"/>
      <w:lvlJc w:val="left"/>
      <w:pPr>
        <w:ind w:left="210"/>
      </w:pPr>
    </w:lvl>
  </w:abstractNum>
  <w:abstractNum w:abstractNumId="19">
    <w:nsid w:val="FBF237BC"/>
    <w:multiLevelType w:val="singleLevel"/>
    <w:tmpl w:val="FBF237BC"/>
    <w:lvl w:ilvl="0" w:tentative="0">
      <w:start w:val="1"/>
      <w:numFmt w:val="decimal"/>
      <w:suff w:val="space"/>
      <w:lvlText w:val="%1)"/>
      <w:lvlJc w:val="left"/>
      <w:pPr>
        <w:ind w:left="210"/>
      </w:pPr>
    </w:lvl>
  </w:abstractNum>
  <w:abstractNum w:abstractNumId="20">
    <w:nsid w:val="041F4E07"/>
    <w:multiLevelType w:val="singleLevel"/>
    <w:tmpl w:val="041F4E07"/>
    <w:lvl w:ilvl="0" w:tentative="0">
      <w:start w:val="1"/>
      <w:numFmt w:val="lowerLetter"/>
      <w:suff w:val="space"/>
      <w:lvlText w:val="%1)"/>
      <w:lvlJc w:val="left"/>
    </w:lvl>
  </w:abstractNum>
  <w:abstractNum w:abstractNumId="21">
    <w:nsid w:val="158A6081"/>
    <w:multiLevelType w:val="singleLevel"/>
    <w:tmpl w:val="158A6081"/>
    <w:lvl w:ilvl="0" w:tentative="0">
      <w:start w:val="1"/>
      <w:numFmt w:val="lowerLetter"/>
      <w:suff w:val="space"/>
      <w:lvlText w:val="%1)"/>
      <w:lvlJc w:val="left"/>
      <w:pPr>
        <w:ind w:left="210"/>
      </w:pPr>
    </w:lvl>
  </w:abstractNum>
  <w:abstractNum w:abstractNumId="22">
    <w:nsid w:val="18D12293"/>
    <w:multiLevelType w:val="singleLevel"/>
    <w:tmpl w:val="18D12293"/>
    <w:lvl w:ilvl="0" w:tentative="0">
      <w:start w:val="1"/>
      <w:numFmt w:val="lowerLetter"/>
      <w:suff w:val="space"/>
      <w:lvlText w:val="%1)"/>
      <w:lvlJc w:val="left"/>
    </w:lvl>
  </w:abstractNum>
  <w:abstractNum w:abstractNumId="23">
    <w:nsid w:val="18D2E9D6"/>
    <w:multiLevelType w:val="singleLevel"/>
    <w:tmpl w:val="18D2E9D6"/>
    <w:lvl w:ilvl="0" w:tentative="0">
      <w:start w:val="1"/>
      <w:numFmt w:val="lowerLetter"/>
      <w:suff w:val="space"/>
      <w:lvlText w:val="%1)"/>
      <w:lvlJc w:val="left"/>
    </w:lvl>
  </w:abstractNum>
  <w:abstractNum w:abstractNumId="24">
    <w:nsid w:val="3C7218E9"/>
    <w:multiLevelType w:val="singleLevel"/>
    <w:tmpl w:val="3C7218E9"/>
    <w:lvl w:ilvl="0" w:tentative="0">
      <w:start w:val="1"/>
      <w:numFmt w:val="decimal"/>
      <w:suff w:val="space"/>
      <w:lvlText w:val="%1)"/>
      <w:lvlJc w:val="left"/>
      <w:pPr>
        <w:ind w:left="210"/>
      </w:pPr>
    </w:lvl>
  </w:abstractNum>
  <w:abstractNum w:abstractNumId="25">
    <w:nsid w:val="3CEFDE61"/>
    <w:multiLevelType w:val="singleLevel"/>
    <w:tmpl w:val="3CEFDE61"/>
    <w:lvl w:ilvl="0" w:tentative="0">
      <w:start w:val="1"/>
      <w:numFmt w:val="lowerLetter"/>
      <w:suff w:val="space"/>
      <w:lvlText w:val="%1)"/>
      <w:lvlJc w:val="left"/>
    </w:lvl>
  </w:abstractNum>
  <w:abstractNum w:abstractNumId="26">
    <w:nsid w:val="487ABD66"/>
    <w:multiLevelType w:val="singleLevel"/>
    <w:tmpl w:val="487ABD66"/>
    <w:lvl w:ilvl="0" w:tentative="0">
      <w:start w:val="1"/>
      <w:numFmt w:val="decimal"/>
      <w:suff w:val="space"/>
      <w:lvlText w:val="%1）"/>
      <w:lvlJc w:val="left"/>
      <w:pPr>
        <w:ind w:left="210"/>
      </w:pPr>
    </w:lvl>
  </w:abstractNum>
  <w:abstractNum w:abstractNumId="27">
    <w:nsid w:val="4F04C685"/>
    <w:multiLevelType w:val="singleLevel"/>
    <w:tmpl w:val="4F04C685"/>
    <w:lvl w:ilvl="0" w:tentative="0">
      <w:start w:val="1"/>
      <w:numFmt w:val="lowerLetter"/>
      <w:suff w:val="space"/>
      <w:lvlText w:val="%1)"/>
      <w:lvlJc w:val="left"/>
    </w:lvl>
  </w:abstractNum>
  <w:abstractNum w:abstractNumId="28">
    <w:nsid w:val="55EE476A"/>
    <w:multiLevelType w:val="singleLevel"/>
    <w:tmpl w:val="55EE476A"/>
    <w:lvl w:ilvl="0" w:tentative="0">
      <w:start w:val="1"/>
      <w:numFmt w:val="lowerLetter"/>
      <w:suff w:val="space"/>
      <w:lvlText w:val="%1)"/>
      <w:lvlJc w:val="left"/>
    </w:lvl>
  </w:abstractNum>
  <w:abstractNum w:abstractNumId="29">
    <w:nsid w:val="67CB1ED7"/>
    <w:multiLevelType w:val="singleLevel"/>
    <w:tmpl w:val="67CB1ED7"/>
    <w:lvl w:ilvl="0" w:tentative="0">
      <w:start w:val="1"/>
      <w:numFmt w:val="decimal"/>
      <w:suff w:val="space"/>
      <w:lvlText w:val="%1）"/>
      <w:lvlJc w:val="left"/>
      <w:pPr>
        <w:ind w:left="210"/>
      </w:pPr>
    </w:lvl>
  </w:abstractNum>
  <w:abstractNum w:abstractNumId="30">
    <w:nsid w:val="79012838"/>
    <w:multiLevelType w:val="singleLevel"/>
    <w:tmpl w:val="79012838"/>
    <w:lvl w:ilvl="0" w:tentative="0">
      <w:start w:val="1"/>
      <w:numFmt w:val="decimal"/>
      <w:suff w:val="space"/>
      <w:lvlText w:val="%1)"/>
      <w:lvlJc w:val="left"/>
      <w:pPr>
        <w:ind w:left="210"/>
      </w:pPr>
    </w:lvl>
  </w:abstractNum>
  <w:num w:numId="1">
    <w:abstractNumId w:val="0"/>
  </w:num>
  <w:num w:numId="2">
    <w:abstractNumId w:val="22"/>
  </w:num>
  <w:num w:numId="3">
    <w:abstractNumId w:val="15"/>
  </w:num>
  <w:num w:numId="4">
    <w:abstractNumId w:val="26"/>
  </w:num>
  <w:num w:numId="5">
    <w:abstractNumId w:val="17"/>
  </w:num>
  <w:num w:numId="6">
    <w:abstractNumId w:val="29"/>
  </w:num>
  <w:num w:numId="7">
    <w:abstractNumId w:val="1"/>
  </w:num>
  <w:num w:numId="8">
    <w:abstractNumId w:val="4"/>
  </w:num>
  <w:num w:numId="9">
    <w:abstractNumId w:val="21"/>
  </w:num>
  <w:num w:numId="10">
    <w:abstractNumId w:val="25"/>
  </w:num>
  <w:num w:numId="11">
    <w:abstractNumId w:val="14"/>
  </w:num>
  <w:num w:numId="12">
    <w:abstractNumId w:val="6"/>
  </w:num>
  <w:num w:numId="13">
    <w:abstractNumId w:val="16"/>
  </w:num>
  <w:num w:numId="14">
    <w:abstractNumId w:val="13"/>
  </w:num>
  <w:num w:numId="15">
    <w:abstractNumId w:val="19"/>
  </w:num>
  <w:num w:numId="16">
    <w:abstractNumId w:val="11"/>
  </w:num>
  <w:num w:numId="17">
    <w:abstractNumId w:val="12"/>
  </w:num>
  <w:num w:numId="18">
    <w:abstractNumId w:val="9"/>
  </w:num>
  <w:num w:numId="19">
    <w:abstractNumId w:val="3"/>
  </w:num>
  <w:num w:numId="20">
    <w:abstractNumId w:val="5"/>
  </w:num>
  <w:num w:numId="21">
    <w:abstractNumId w:val="8"/>
  </w:num>
  <w:num w:numId="22">
    <w:abstractNumId w:val="18"/>
  </w:num>
  <w:num w:numId="23">
    <w:abstractNumId w:val="20"/>
  </w:num>
  <w:num w:numId="24">
    <w:abstractNumId w:val="2"/>
  </w:num>
  <w:num w:numId="25">
    <w:abstractNumId w:val="24"/>
  </w:num>
  <w:num w:numId="26">
    <w:abstractNumId w:val="27"/>
  </w:num>
  <w:num w:numId="27">
    <w:abstractNumId w:val="10"/>
  </w:num>
  <w:num w:numId="28">
    <w:abstractNumId w:val="30"/>
  </w:num>
  <w:num w:numId="29">
    <w:abstractNumId w:val="7"/>
  </w:num>
  <w:num w:numId="30">
    <w:abstractNumId w:val="23"/>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nforcement="0"/>
  <w:defaultTabStop w:val="420"/>
  <w:evenAndOddHeaders w:val="1"/>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4E6F69"/>
    <w:rsid w:val="007E7B13"/>
    <w:rsid w:val="02CA6D8A"/>
    <w:rsid w:val="02F03A59"/>
    <w:rsid w:val="032A7971"/>
    <w:rsid w:val="0336287A"/>
    <w:rsid w:val="03DB0A3F"/>
    <w:rsid w:val="03E31793"/>
    <w:rsid w:val="03EC198D"/>
    <w:rsid w:val="04A76114"/>
    <w:rsid w:val="050E4D36"/>
    <w:rsid w:val="051903BC"/>
    <w:rsid w:val="06F14699"/>
    <w:rsid w:val="074D0755"/>
    <w:rsid w:val="07754337"/>
    <w:rsid w:val="095D45DF"/>
    <w:rsid w:val="09715E36"/>
    <w:rsid w:val="09734846"/>
    <w:rsid w:val="0A2426CC"/>
    <w:rsid w:val="0BF8348B"/>
    <w:rsid w:val="0C5A187B"/>
    <w:rsid w:val="0DDF11C5"/>
    <w:rsid w:val="0EB83CDC"/>
    <w:rsid w:val="0FF758C5"/>
    <w:rsid w:val="10413EC9"/>
    <w:rsid w:val="1113285D"/>
    <w:rsid w:val="11DE117F"/>
    <w:rsid w:val="11F30C59"/>
    <w:rsid w:val="121E658F"/>
    <w:rsid w:val="12D90A75"/>
    <w:rsid w:val="12EA159C"/>
    <w:rsid w:val="138134F3"/>
    <w:rsid w:val="140D4591"/>
    <w:rsid w:val="15516673"/>
    <w:rsid w:val="167F3CF6"/>
    <w:rsid w:val="16A37E83"/>
    <w:rsid w:val="172A55FC"/>
    <w:rsid w:val="17915637"/>
    <w:rsid w:val="19C505C9"/>
    <w:rsid w:val="1A8F30F9"/>
    <w:rsid w:val="1B1936EB"/>
    <w:rsid w:val="1C952D3D"/>
    <w:rsid w:val="1CC46D05"/>
    <w:rsid w:val="1CE1419A"/>
    <w:rsid w:val="1E1C5B33"/>
    <w:rsid w:val="1E2473F4"/>
    <w:rsid w:val="1F35009E"/>
    <w:rsid w:val="20555717"/>
    <w:rsid w:val="20CA5699"/>
    <w:rsid w:val="20D70EE6"/>
    <w:rsid w:val="23111EAF"/>
    <w:rsid w:val="242E5866"/>
    <w:rsid w:val="26CF0CF6"/>
    <w:rsid w:val="27336D5D"/>
    <w:rsid w:val="27E32980"/>
    <w:rsid w:val="28DA79D9"/>
    <w:rsid w:val="28DF102C"/>
    <w:rsid w:val="29D9582F"/>
    <w:rsid w:val="2A75713E"/>
    <w:rsid w:val="2B4805C8"/>
    <w:rsid w:val="2C144F35"/>
    <w:rsid w:val="2C15434D"/>
    <w:rsid w:val="2F3D16AA"/>
    <w:rsid w:val="2F59707B"/>
    <w:rsid w:val="2FCF4507"/>
    <w:rsid w:val="32D56AC9"/>
    <w:rsid w:val="35FB5A5A"/>
    <w:rsid w:val="38D11C32"/>
    <w:rsid w:val="39D04F39"/>
    <w:rsid w:val="3AF22F9A"/>
    <w:rsid w:val="3B1F3DC6"/>
    <w:rsid w:val="3B4D0973"/>
    <w:rsid w:val="3C9D79FB"/>
    <w:rsid w:val="3CA56FB6"/>
    <w:rsid w:val="3CFA063A"/>
    <w:rsid w:val="3DB11258"/>
    <w:rsid w:val="3ED22566"/>
    <w:rsid w:val="3FFF1A42"/>
    <w:rsid w:val="3FFF3BA2"/>
    <w:rsid w:val="402909D2"/>
    <w:rsid w:val="404E6F69"/>
    <w:rsid w:val="42920310"/>
    <w:rsid w:val="43F713B0"/>
    <w:rsid w:val="4590278F"/>
    <w:rsid w:val="46DC0EA3"/>
    <w:rsid w:val="477E24B9"/>
    <w:rsid w:val="47DA2A73"/>
    <w:rsid w:val="47F2320C"/>
    <w:rsid w:val="47F40EFB"/>
    <w:rsid w:val="48BE0BD6"/>
    <w:rsid w:val="4BA26461"/>
    <w:rsid w:val="4BA866EC"/>
    <w:rsid w:val="4DAD2CF7"/>
    <w:rsid w:val="4E767C91"/>
    <w:rsid w:val="4E8B16F6"/>
    <w:rsid w:val="4ECB4DE3"/>
    <w:rsid w:val="4FB7007B"/>
    <w:rsid w:val="50085F37"/>
    <w:rsid w:val="511C086E"/>
    <w:rsid w:val="51C66B50"/>
    <w:rsid w:val="5228534D"/>
    <w:rsid w:val="53F2514A"/>
    <w:rsid w:val="54C5567D"/>
    <w:rsid w:val="550D2724"/>
    <w:rsid w:val="555F5386"/>
    <w:rsid w:val="5640658D"/>
    <w:rsid w:val="59B97B16"/>
    <w:rsid w:val="5B3401FB"/>
    <w:rsid w:val="5C9042A5"/>
    <w:rsid w:val="621F2781"/>
    <w:rsid w:val="624E396F"/>
    <w:rsid w:val="633F091A"/>
    <w:rsid w:val="63792811"/>
    <w:rsid w:val="64F14000"/>
    <w:rsid w:val="678968B2"/>
    <w:rsid w:val="692A167D"/>
    <w:rsid w:val="696345EC"/>
    <w:rsid w:val="697367FE"/>
    <w:rsid w:val="6C46533D"/>
    <w:rsid w:val="6DDF6CEF"/>
    <w:rsid w:val="6F0E6252"/>
    <w:rsid w:val="6F3855CA"/>
    <w:rsid w:val="711D39F4"/>
    <w:rsid w:val="715D78F6"/>
    <w:rsid w:val="71B26EB0"/>
    <w:rsid w:val="71BD1514"/>
    <w:rsid w:val="72FF19ED"/>
    <w:rsid w:val="733C3A12"/>
    <w:rsid w:val="73E90860"/>
    <w:rsid w:val="744B034B"/>
    <w:rsid w:val="75E30BEF"/>
    <w:rsid w:val="764B2449"/>
    <w:rsid w:val="78171F17"/>
    <w:rsid w:val="78D042E7"/>
    <w:rsid w:val="7C05736B"/>
    <w:rsid w:val="7D2E0382"/>
    <w:rsid w:val="7F4951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semiHidden/>
    <w:qFormat/>
    <w:uiPriority w:val="0"/>
    <w:pPr>
      <w:tabs>
        <w:tab w:val="right" w:leader="dot" w:pos="9241"/>
      </w:tabs>
      <w:ind w:firstLine="100" w:firstLineChars="100"/>
      <w:jc w:val="left"/>
    </w:pPr>
    <w:rPr>
      <w:rFonts w:ascii="宋体"/>
      <w:szCs w:val="21"/>
    </w:rPr>
  </w:style>
  <w:style w:type="paragraph" w:styleId="4">
    <w:name w:val="footer"/>
    <w:basedOn w:val="1"/>
    <w:qFormat/>
    <w:uiPriority w:val="0"/>
    <w:pPr>
      <w:snapToGrid w:val="0"/>
      <w:ind w:right="210" w:rightChars="100"/>
      <w:jc w:val="righ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semiHidden/>
    <w:qFormat/>
    <w:uiPriority w:val="0"/>
    <w:pPr>
      <w:tabs>
        <w:tab w:val="right" w:leader="dot" w:pos="9242"/>
      </w:tabs>
      <w:spacing w:beforeLines="25" w:afterLines="25"/>
      <w:jc w:val="left"/>
    </w:pPr>
    <w:rPr>
      <w:rFonts w:ascii="宋体"/>
      <w:szCs w:val="21"/>
    </w:rPr>
  </w:style>
  <w:style w:type="paragraph" w:styleId="7">
    <w:name w:val="toc 2"/>
    <w:basedOn w:val="1"/>
    <w:next w:val="1"/>
    <w:semiHidden/>
    <w:qFormat/>
    <w:uiPriority w:val="0"/>
    <w:pPr>
      <w:tabs>
        <w:tab w:val="right" w:leader="dot" w:pos="9242"/>
      </w:tabs>
    </w:pPr>
    <w:rPr>
      <w:rFonts w:ascii="宋体"/>
      <w:szCs w:val="21"/>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22"/>
    <w:rPr>
      <w:bCs/>
    </w:rPr>
  </w:style>
  <w:style w:type="paragraph" w:customStyle="1" w:styleId="13">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4">
    <w:name w:val="其他标准标志"/>
    <w:basedOn w:val="15"/>
    <w:qFormat/>
    <w:uiPriority w:val="0"/>
    <w:pPr>
      <w:framePr w:w="6101" w:vAnchor="page" w:hAnchor="page" w:x="4673" w:y="942"/>
    </w:pPr>
    <w:rPr>
      <w:w w:val="130"/>
    </w:rPr>
  </w:style>
  <w:style w:type="paragraph" w:customStyle="1" w:styleId="15">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6">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7">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8">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9">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0">
    <w:name w:val="封面标准英文名称"/>
    <w:basedOn w:val="19"/>
    <w:qFormat/>
    <w:uiPriority w:val="0"/>
    <w:pPr>
      <w:spacing w:before="370" w:line="400" w:lineRule="exact"/>
    </w:pPr>
    <w:rPr>
      <w:rFonts w:ascii="Times New Roman"/>
      <w:sz w:val="28"/>
      <w:szCs w:val="28"/>
    </w:rPr>
  </w:style>
  <w:style w:type="paragraph" w:customStyle="1" w:styleId="21">
    <w:name w:val="封面一致性程度标识"/>
    <w:basedOn w:val="20"/>
    <w:qFormat/>
    <w:uiPriority w:val="0"/>
    <w:pPr>
      <w:spacing w:before="440"/>
    </w:pPr>
    <w:rPr>
      <w:rFonts w:ascii="宋体" w:eastAsia="宋体"/>
    </w:rPr>
  </w:style>
  <w:style w:type="paragraph" w:customStyle="1" w:styleId="22">
    <w:name w:val="封面标准文稿类别"/>
    <w:basedOn w:val="21"/>
    <w:qFormat/>
    <w:uiPriority w:val="0"/>
    <w:pPr>
      <w:spacing w:after="160" w:line="240" w:lineRule="auto"/>
    </w:pPr>
    <w:rPr>
      <w:sz w:val="24"/>
    </w:rPr>
  </w:style>
  <w:style w:type="paragraph" w:customStyle="1" w:styleId="23">
    <w:name w:val="封面标准文稿编辑信息"/>
    <w:basedOn w:val="22"/>
    <w:qFormat/>
    <w:uiPriority w:val="0"/>
    <w:pPr>
      <w:spacing w:before="180" w:line="180" w:lineRule="exact"/>
    </w:pPr>
    <w:rPr>
      <w:sz w:val="21"/>
    </w:rPr>
  </w:style>
  <w:style w:type="paragraph" w:customStyle="1" w:styleId="24">
    <w:name w:val="其他发布日期"/>
    <w:basedOn w:val="25"/>
    <w:qFormat/>
    <w:uiPriority w:val="0"/>
    <w:pPr>
      <w:framePr w:vAnchor="page" w:hAnchor="text" w:x="1419"/>
    </w:pPr>
  </w:style>
  <w:style w:type="paragraph" w:customStyle="1" w:styleId="25">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26">
    <w:name w:val="其他实施日期"/>
    <w:basedOn w:val="27"/>
    <w:qFormat/>
    <w:uiPriority w:val="0"/>
  </w:style>
  <w:style w:type="paragraph" w:customStyle="1" w:styleId="27">
    <w:name w:val="实施日期"/>
    <w:basedOn w:val="25"/>
    <w:qFormat/>
    <w:uiPriority w:val="0"/>
    <w:pPr>
      <w:framePr w:vAnchor="page" w:hAnchor="text"/>
      <w:jc w:val="right"/>
    </w:pPr>
  </w:style>
  <w:style w:type="paragraph" w:customStyle="1" w:styleId="28">
    <w:name w:val="其他发布部门"/>
    <w:basedOn w:val="29"/>
    <w:qFormat/>
    <w:uiPriority w:val="0"/>
    <w:pPr>
      <w:framePr w:y="15310"/>
      <w:spacing w:line="0" w:lineRule="atLeast"/>
    </w:pPr>
    <w:rPr>
      <w:rFonts w:ascii="黑体" w:eastAsia="黑体"/>
      <w:b w:val="0"/>
    </w:rPr>
  </w:style>
  <w:style w:type="paragraph" w:customStyle="1" w:styleId="29">
    <w:name w:val="发布部门"/>
    <w:next w:val="30"/>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30">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31">
    <w:name w:val="前言、引言标题"/>
    <w:next w:val="30"/>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2">
    <w:name w:val="章标题"/>
    <w:next w:val="30"/>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33">
    <w:name w:val="一级条标题"/>
    <w:next w:val="30"/>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34">
    <w:name w:val="二级条标题"/>
    <w:basedOn w:val="33"/>
    <w:next w:val="30"/>
    <w:qFormat/>
    <w:uiPriority w:val="0"/>
    <w:pPr>
      <w:numPr>
        <w:ilvl w:val="2"/>
        <w:numId w:val="1"/>
      </w:numPr>
      <w:spacing w:before="50" w:after="50"/>
      <w:ind w:left="0" w:firstLine="0"/>
      <w:outlineLvl w:val="3"/>
    </w:pPr>
  </w:style>
  <w:style w:type="paragraph" w:customStyle="1" w:styleId="35">
    <w:name w:val="三级条标题"/>
    <w:basedOn w:val="34"/>
    <w:next w:val="30"/>
    <w:qFormat/>
    <w:uiPriority w:val="0"/>
    <w:pPr>
      <w:numPr>
        <w:ilvl w:val="3"/>
      </w:numPr>
      <w:ind w:left="0"/>
      <w:outlineLvl w:val="4"/>
    </w:pPr>
  </w:style>
  <w:style w:type="paragraph" w:customStyle="1" w:styleId="36">
    <w:name w:val="参考文献"/>
    <w:basedOn w:val="1"/>
    <w:next w:val="30"/>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37">
    <w:name w:val="终结线"/>
    <w:basedOn w:val="1"/>
    <w:qFormat/>
    <w:uiPriority w:val="0"/>
    <w:pPr>
      <w:framePr w:hSpace="181" w:vSpace="181" w:wrap="around" w:vAnchor="text" w:hAnchor="margin" w:xAlign="center" w:y="285"/>
    </w:pPr>
  </w:style>
  <w:style w:type="paragraph" w:customStyle="1" w:styleId="38">
    <w:name w:val="标准书眉_偶数页"/>
    <w:basedOn w:val="39"/>
    <w:next w:val="1"/>
    <w:qFormat/>
    <w:uiPriority w:val="0"/>
    <w:pPr>
      <w:tabs>
        <w:tab w:val="center" w:pos="4154"/>
        <w:tab w:val="right" w:pos="8306"/>
      </w:tabs>
      <w:jc w:val="left"/>
    </w:pPr>
  </w:style>
  <w:style w:type="paragraph" w:customStyle="1" w:styleId="39">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0">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41">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2021-04-14T00:21:00Z</dcterms:created>
  <dc:creator>XPS15</dc:creator>
  <cp:lastModifiedBy>真由理</cp:lastModifiedBy>
  <dcterms:modified xsi:type="dcterms:W3CDTF">2021-08-23T02:36:05Z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7AC62CE0403F4D689DA286A05BCDC02B</vt:lpwstr>
  </property>
</Properties>
</file>